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ayout w:type="fixed"/>
        <w:tblLook w:val="0000" w:firstRow="0" w:lastRow="0" w:firstColumn="0" w:lastColumn="0" w:noHBand="0" w:noVBand="0"/>
      </w:tblPr>
      <w:tblGrid>
        <w:gridCol w:w="3261"/>
        <w:gridCol w:w="5811"/>
      </w:tblGrid>
      <w:tr w:rsidR="00D7338E" w:rsidRPr="00BA125B" w14:paraId="7A21182F" w14:textId="77777777" w:rsidTr="00CF43E2">
        <w:trPr>
          <w:trHeight w:val="1701"/>
        </w:trPr>
        <w:tc>
          <w:tcPr>
            <w:tcW w:w="3261" w:type="dxa"/>
          </w:tcPr>
          <w:p w14:paraId="14843DE0" w14:textId="776C7FB2" w:rsidR="00D7338E" w:rsidRPr="00BA125B" w:rsidRDefault="00CF43E2" w:rsidP="00910E6F">
            <w:pPr>
              <w:pStyle w:val="Heading1"/>
              <w:spacing w:before="0" w:after="0"/>
              <w:ind w:left="34" w:right="-249" w:hanging="392"/>
              <w:jc w:val="center"/>
              <w:rPr>
                <w:rFonts w:ascii="Times New Roman" w:hAnsi="Times New Roman"/>
                <w:b w:val="0"/>
                <w:sz w:val="28"/>
                <w:szCs w:val="28"/>
              </w:rPr>
            </w:pPr>
            <w:bookmarkStart w:id="0" w:name="_GoBack"/>
            <w:bookmarkEnd w:id="0"/>
            <w:r>
              <w:rPr>
                <w:rFonts w:ascii="Times New Roman" w:hAnsi="Times New Roman"/>
                <w:b w:val="0"/>
                <w:sz w:val="28"/>
                <w:szCs w:val="28"/>
              </w:rPr>
              <w:t>U</w:t>
            </w:r>
            <w:r w:rsidR="009C4B40" w:rsidRPr="00BA125B">
              <w:rPr>
                <w:rFonts w:ascii="Times New Roman" w:hAnsi="Times New Roman"/>
                <w:b w:val="0"/>
                <w:sz w:val="28"/>
                <w:szCs w:val="28"/>
              </w:rPr>
              <w:t xml:space="preserve">BND TỈNH </w:t>
            </w:r>
            <w:r w:rsidR="009A5009">
              <w:rPr>
                <w:rFonts w:ascii="Times New Roman" w:hAnsi="Times New Roman"/>
                <w:b w:val="0"/>
                <w:sz w:val="28"/>
                <w:szCs w:val="28"/>
              </w:rPr>
              <w:t>HẢI DƯƠNG</w:t>
            </w:r>
          </w:p>
          <w:p w14:paraId="304684EE" w14:textId="7596950F" w:rsidR="00D7338E" w:rsidRPr="00BA125B" w:rsidRDefault="009C4B40" w:rsidP="00910E6F">
            <w:pPr>
              <w:ind w:left="34" w:right="-249"/>
              <w:jc w:val="center"/>
              <w:rPr>
                <w:b/>
                <w:bCs/>
                <w:sz w:val="28"/>
                <w:szCs w:val="28"/>
              </w:rPr>
            </w:pPr>
            <w:r w:rsidRPr="00BA125B">
              <w:rPr>
                <w:b/>
                <w:bCs/>
                <w:sz w:val="28"/>
                <w:szCs w:val="28"/>
              </w:rPr>
              <w:t xml:space="preserve">SỞ </w:t>
            </w:r>
            <w:r w:rsidR="00085523">
              <w:rPr>
                <w:b/>
                <w:bCs/>
                <w:sz w:val="28"/>
                <w:szCs w:val="28"/>
              </w:rPr>
              <w:t>TÀI CHÍNH</w:t>
            </w:r>
          </w:p>
          <w:p w14:paraId="1C666E0A" w14:textId="77777777" w:rsidR="00D7338E" w:rsidRPr="00BA125B" w:rsidRDefault="009C4B40" w:rsidP="00CF43E2">
            <w:pPr>
              <w:pStyle w:val="Heading6"/>
              <w:ind w:left="34"/>
              <w:rPr>
                <w:b w:val="0"/>
                <w:sz w:val="28"/>
                <w:szCs w:val="28"/>
                <w:lang w:val="nb-NO"/>
              </w:rPr>
            </w:pPr>
            <w:r w:rsidRPr="00BA125B">
              <w:rPr>
                <w:b w:val="0"/>
                <w:noProof/>
                <w:sz w:val="28"/>
                <w:szCs w:val="28"/>
              </w:rPr>
              <mc:AlternateContent>
                <mc:Choice Requires="wps">
                  <w:drawing>
                    <wp:anchor distT="0" distB="0" distL="114300" distR="114300" simplePos="0" relativeHeight="251665408" behindDoc="0" locked="0" layoutInCell="1" allowOverlap="1" wp14:anchorId="47AD2454" wp14:editId="7F5FFA5E">
                      <wp:simplePos x="0" y="0"/>
                      <wp:positionH relativeFrom="column">
                        <wp:posOffset>741364</wp:posOffset>
                      </wp:positionH>
                      <wp:positionV relativeFrom="paragraph">
                        <wp:posOffset>42545</wp:posOffset>
                      </wp:positionV>
                      <wp:extent cx="352423" cy="0"/>
                      <wp:effectExtent l="0" t="0" r="0" b="0"/>
                      <wp:wrapNone/>
                      <wp:docPr id="1" name="Straight Connector 1"/>
                      <wp:cNvGraphicFramePr/>
                      <a:graphic xmlns:a="http://schemas.openxmlformats.org/drawingml/2006/main">
                        <a:graphicData uri="http://schemas.microsoft.com/office/word/2010/wordprocessingShape">
                          <wps:wsp>
                            <wps:cNvCnPr/>
                            <wps:spPr bwMode="auto">
                              <a:xfrm>
                                <a:off x="0" y="0"/>
                                <a:ext cx="3524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3BBB014A"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8.4pt,3.35pt" to="86.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" strokecolor="black [3200]" strokeweight=".5pt">
                      <v:stroke joinstyle="miter"/>
                    </v:line>
                  </w:pict>
                </mc:Fallback>
              </mc:AlternateContent>
            </w:r>
          </w:p>
          <w:p w14:paraId="2098255D" w14:textId="7818C210" w:rsidR="00D7338E" w:rsidRPr="00BA125B" w:rsidRDefault="00D7338E" w:rsidP="00CF43E2">
            <w:pPr>
              <w:ind w:left="34"/>
              <w:jc w:val="center"/>
              <w:rPr>
                <w:sz w:val="28"/>
                <w:szCs w:val="28"/>
              </w:rPr>
            </w:pPr>
          </w:p>
          <w:p w14:paraId="07DE2F50" w14:textId="77777777" w:rsidR="00D7338E" w:rsidRPr="00BA125B" w:rsidRDefault="009C4B40" w:rsidP="00CF43E2">
            <w:pPr>
              <w:ind w:left="34"/>
              <w:jc w:val="center"/>
              <w:rPr>
                <w:b/>
                <w:sz w:val="28"/>
                <w:szCs w:val="28"/>
                <w:lang w:val="nb-NO"/>
              </w:rPr>
            </w:pPr>
            <w:r w:rsidRPr="00BA125B">
              <w:rPr>
                <w:sz w:val="28"/>
                <w:szCs w:val="28"/>
              </w:rPr>
              <w:t xml:space="preserve"> </w:t>
            </w:r>
          </w:p>
        </w:tc>
        <w:tc>
          <w:tcPr>
            <w:tcW w:w="5811" w:type="dxa"/>
          </w:tcPr>
          <w:p w14:paraId="71C9D153" w14:textId="77777777" w:rsidR="00D7338E" w:rsidRPr="00734A54" w:rsidRDefault="009C4B40" w:rsidP="00910E6F">
            <w:pPr>
              <w:pStyle w:val="Heading4"/>
              <w:spacing w:before="0" w:after="0"/>
              <w:jc w:val="center"/>
              <w:rPr>
                <w:rFonts w:ascii="Times New Roman" w:hAnsi="Times New Roman"/>
                <w:sz w:val="26"/>
                <w:szCs w:val="26"/>
              </w:rPr>
            </w:pPr>
            <w:r w:rsidRPr="00734A54">
              <w:rPr>
                <w:rFonts w:ascii="Times New Roman" w:hAnsi="Times New Roman"/>
                <w:sz w:val="26"/>
                <w:szCs w:val="26"/>
              </w:rPr>
              <w:t>CỘNG HÒA XÃ HỘI CHỦ NGHĨA VIỆT NAM</w:t>
            </w:r>
          </w:p>
          <w:p w14:paraId="66703F02" w14:textId="77777777" w:rsidR="00D7338E" w:rsidRPr="00BA125B" w:rsidRDefault="009C4B40" w:rsidP="00910E6F">
            <w:pPr>
              <w:jc w:val="center"/>
              <w:rPr>
                <w:b/>
                <w:sz w:val="28"/>
                <w:szCs w:val="28"/>
              </w:rPr>
            </w:pPr>
            <w:r w:rsidRPr="00BA125B">
              <w:rPr>
                <w:b/>
                <w:sz w:val="28"/>
                <w:szCs w:val="28"/>
              </w:rPr>
              <w:t>Độc lập - Tự do - Hạnh phúc</w:t>
            </w:r>
          </w:p>
          <w:p w14:paraId="7B2E1241" w14:textId="77777777" w:rsidR="00D7338E" w:rsidRPr="00BA125B" w:rsidRDefault="009C4B40">
            <w:pPr>
              <w:jc w:val="center"/>
              <w:rPr>
                <w:i/>
                <w:sz w:val="28"/>
                <w:szCs w:val="28"/>
                <w:lang w:val="nb-NO"/>
              </w:rPr>
            </w:pPr>
            <w:r w:rsidRPr="00BA125B">
              <w:rPr>
                <w:i/>
                <w:noProof/>
                <w:sz w:val="28"/>
                <w:szCs w:val="28"/>
              </w:rPr>
              <mc:AlternateContent>
                <mc:Choice Requires="wps">
                  <w:drawing>
                    <wp:anchor distT="0" distB="0" distL="114300" distR="114300" simplePos="0" relativeHeight="251664384" behindDoc="0" locked="0" layoutInCell="1" allowOverlap="1" wp14:anchorId="309D074F" wp14:editId="04995204">
                      <wp:simplePos x="0" y="0"/>
                      <wp:positionH relativeFrom="column">
                        <wp:posOffset>817775</wp:posOffset>
                      </wp:positionH>
                      <wp:positionV relativeFrom="paragraph">
                        <wp:posOffset>41910</wp:posOffset>
                      </wp:positionV>
                      <wp:extent cx="1990723" cy="0"/>
                      <wp:effectExtent l="0" t="0" r="0" b="0"/>
                      <wp:wrapNone/>
                      <wp:docPr id="2" name="Straight Connector 1"/>
                      <wp:cNvGraphicFramePr/>
                      <a:graphic xmlns:a="http://schemas.openxmlformats.org/drawingml/2006/main">
                        <a:graphicData uri="http://schemas.microsoft.com/office/word/2010/wordprocessingShape">
                          <wps:wsp>
                            <wps:cNvCnPr/>
                            <wps:spPr bwMode="auto">
                              <a:xfrm flipV="1">
                                <a:off x="0" y="0"/>
                                <a:ext cx="1990723"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6E4F1368"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pt,3.3pt" to="221.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"/>
                  </w:pict>
                </mc:Fallback>
              </mc:AlternateContent>
            </w:r>
          </w:p>
          <w:p w14:paraId="317F4259" w14:textId="5A4013D4" w:rsidR="00D7338E" w:rsidRPr="00BA125B" w:rsidRDefault="009C4B40" w:rsidP="00085523">
            <w:pPr>
              <w:jc w:val="center"/>
              <w:rPr>
                <w:i/>
                <w:sz w:val="28"/>
                <w:szCs w:val="28"/>
                <w:lang w:val="nb-NO"/>
              </w:rPr>
            </w:pPr>
            <w:r w:rsidRPr="00BA125B">
              <w:rPr>
                <w:i/>
                <w:sz w:val="28"/>
                <w:szCs w:val="28"/>
                <w:lang w:val="nb-NO"/>
              </w:rPr>
              <w:t xml:space="preserve">        </w:t>
            </w:r>
            <w:r w:rsidR="00085523">
              <w:rPr>
                <w:i/>
                <w:sz w:val="28"/>
                <w:szCs w:val="28"/>
                <w:lang w:val="nb-NO"/>
              </w:rPr>
              <w:t>Hải Dương</w:t>
            </w:r>
            <w:r w:rsidRPr="00BA125B">
              <w:rPr>
                <w:i/>
                <w:sz w:val="28"/>
                <w:szCs w:val="28"/>
                <w:lang w:val="nb-NO"/>
              </w:rPr>
              <w:t>, ngày        tháng     năm 202</w:t>
            </w:r>
            <w:r w:rsidR="006E53AE" w:rsidRPr="00BA125B">
              <w:rPr>
                <w:i/>
                <w:sz w:val="28"/>
                <w:szCs w:val="28"/>
                <w:lang w:val="nb-NO"/>
              </w:rPr>
              <w:t xml:space="preserve">5 </w:t>
            </w:r>
          </w:p>
        </w:tc>
      </w:tr>
    </w:tbl>
    <w:p w14:paraId="113181BA" w14:textId="77777777" w:rsidR="004B741F" w:rsidRDefault="004B741F" w:rsidP="0094791C">
      <w:pPr>
        <w:jc w:val="center"/>
        <w:rPr>
          <w:b/>
          <w:bCs/>
          <w:sz w:val="28"/>
          <w:szCs w:val="28"/>
        </w:rPr>
      </w:pPr>
    </w:p>
    <w:p w14:paraId="78131A1F" w14:textId="122945E0" w:rsidR="00950E34" w:rsidRPr="004B741F" w:rsidRDefault="004B741F" w:rsidP="0094791C">
      <w:pPr>
        <w:jc w:val="center"/>
        <w:rPr>
          <w:b/>
          <w:spacing w:val="-4"/>
          <w:sz w:val="28"/>
          <w:szCs w:val="28"/>
        </w:rPr>
      </w:pPr>
      <w:r>
        <w:rPr>
          <w:b/>
          <w:bCs/>
          <w:sz w:val="28"/>
          <w:szCs w:val="28"/>
        </w:rPr>
        <w:t>BẢNG SO SÁNH, THUYẾT MINH NỘI DUNG DỰ THẢO VỚI QUY ĐỊNH PHÁP LUẬT HIỆN HÀNH</w:t>
      </w:r>
    </w:p>
    <w:p w14:paraId="4EA25BD7" w14:textId="0FDDFE71" w:rsidR="00D7338E" w:rsidRPr="00BA125B" w:rsidRDefault="009C4B40" w:rsidP="00950E34">
      <w:pPr>
        <w:jc w:val="center"/>
        <w:rPr>
          <w:b/>
          <w:bCs/>
          <w:sz w:val="28"/>
          <w:szCs w:val="28"/>
          <w:lang w:val="es-MX"/>
        </w:rPr>
      </w:pPr>
      <w:r w:rsidRPr="00BA125B">
        <w:rPr>
          <w:b/>
          <w:bCs/>
          <w:noProof/>
          <w:sz w:val="28"/>
          <w:szCs w:val="28"/>
        </w:rPr>
        <mc:AlternateContent>
          <mc:Choice Requires="wps">
            <w:drawing>
              <wp:anchor distT="0" distB="0" distL="114300" distR="114300" simplePos="0" relativeHeight="251662336" behindDoc="0" locked="0" layoutInCell="1" allowOverlap="1" wp14:anchorId="6E925B9B" wp14:editId="7FD13B0C">
                <wp:simplePos x="0" y="0"/>
                <wp:positionH relativeFrom="column">
                  <wp:posOffset>2406013</wp:posOffset>
                </wp:positionH>
                <wp:positionV relativeFrom="paragraph">
                  <wp:posOffset>43813</wp:posOffset>
                </wp:positionV>
                <wp:extent cx="1028700" cy="0"/>
                <wp:effectExtent l="0" t="0" r="19048" b="19048"/>
                <wp:wrapNone/>
                <wp:docPr id="3" name="Đường nối Thẳng 5"/>
                <wp:cNvGraphicFramePr/>
                <a:graphic xmlns:a="http://schemas.openxmlformats.org/drawingml/2006/main">
                  <a:graphicData uri="http://schemas.microsoft.com/office/word/2010/wordprocessingShape">
                    <wps:wsp>
                      <wps:cNvCnPr/>
                      <wps:spPr bwMode="auto">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44418092" id="Đường nối Thẳng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45pt,3.45pt" to="270.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" strokecolor="black [3200]" strokeweight=".5pt">
                <v:stroke joinstyle="miter"/>
              </v:line>
            </w:pict>
          </mc:Fallback>
        </mc:AlternateContent>
      </w:r>
    </w:p>
    <w:p w14:paraId="610182C0" w14:textId="334A6A5A" w:rsidR="0005223D" w:rsidRPr="0013503C" w:rsidRDefault="009C4B40" w:rsidP="00C916CD">
      <w:pPr>
        <w:pStyle w:val="NormalWeb"/>
        <w:shd w:val="clear" w:color="auto" w:fill="FFFFFF"/>
        <w:spacing w:before="60" w:beforeAutospacing="0" w:after="0" w:afterAutospacing="0"/>
        <w:ind w:firstLine="720"/>
        <w:jc w:val="both"/>
        <w:rPr>
          <w:sz w:val="20"/>
          <w:szCs w:val="20"/>
          <w:lang w:val="nb-NO"/>
        </w:rPr>
      </w:pPr>
      <w:r w:rsidRPr="00BA125B">
        <w:rPr>
          <w:bCs/>
          <w:sz w:val="28"/>
          <w:szCs w:val="28"/>
          <w:lang w:val="es-MX"/>
        </w:rPr>
        <w:tab/>
      </w:r>
    </w:p>
    <w:tbl>
      <w:tblPr>
        <w:tblStyle w:val="TableGrid"/>
        <w:tblW w:w="0" w:type="auto"/>
        <w:tblLook w:val="04A0" w:firstRow="1" w:lastRow="0" w:firstColumn="1" w:lastColumn="0" w:noHBand="0" w:noVBand="1"/>
      </w:tblPr>
      <w:tblGrid>
        <w:gridCol w:w="4561"/>
        <w:gridCol w:w="4501"/>
      </w:tblGrid>
      <w:tr w:rsidR="001D4E12" w:rsidRPr="0013503C" w14:paraId="685C7069" w14:textId="77777777" w:rsidTr="008B5D00">
        <w:tc>
          <w:tcPr>
            <w:tcW w:w="4561" w:type="dxa"/>
            <w:vAlign w:val="center"/>
          </w:tcPr>
          <w:p w14:paraId="47440FCC" w14:textId="07FD14D9" w:rsidR="001D4E12" w:rsidRPr="0013503C" w:rsidRDefault="001D4E12" w:rsidP="00CA3E45">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center"/>
              <w:rPr>
                <w:b/>
                <w:bCs/>
                <w:lang w:val="nb-NO"/>
              </w:rPr>
            </w:pPr>
            <w:r>
              <w:rPr>
                <w:b/>
                <w:bCs/>
                <w:lang w:val="nb-NO"/>
              </w:rPr>
              <w:t>DỰ THẢO VĂN BẢN</w:t>
            </w:r>
          </w:p>
        </w:tc>
        <w:tc>
          <w:tcPr>
            <w:tcW w:w="4501" w:type="dxa"/>
            <w:vAlign w:val="center"/>
          </w:tcPr>
          <w:p w14:paraId="4EBDF492" w14:textId="36656C5A" w:rsidR="001D4E12" w:rsidRPr="0013503C" w:rsidRDefault="001D4E12" w:rsidP="00CA3E45">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center"/>
              <w:rPr>
                <w:b/>
                <w:bCs/>
                <w:lang w:val="nb-NO"/>
              </w:rPr>
            </w:pPr>
            <w:r>
              <w:rPr>
                <w:b/>
                <w:bCs/>
                <w:lang w:val="nb-NO"/>
              </w:rPr>
              <w:t>THUYẾT MINH</w:t>
            </w:r>
          </w:p>
        </w:tc>
      </w:tr>
      <w:tr w:rsidR="001D4E12" w:rsidRPr="0013503C" w14:paraId="1BF9EF28" w14:textId="77777777" w:rsidTr="007B4910">
        <w:tc>
          <w:tcPr>
            <w:tcW w:w="4561" w:type="dxa"/>
          </w:tcPr>
          <w:p w14:paraId="70E1631B" w14:textId="2F75E64C" w:rsidR="00683075" w:rsidRPr="009738C9" w:rsidRDefault="00683075" w:rsidP="00683075">
            <w:pPr>
              <w:pBdr>
                <w:right w:val="none" w:sz="4" w:space="3" w:color="000000"/>
              </w:pBdr>
              <w:spacing w:before="120" w:after="120" w:line="320" w:lineRule="exact"/>
              <w:jc w:val="both"/>
              <w:rPr>
                <w:b/>
              </w:rPr>
            </w:pPr>
            <w:r w:rsidRPr="005C4655">
              <w:rPr>
                <w:b/>
                <w:bCs/>
                <w:lang w:val="vi-VN"/>
              </w:rPr>
              <w:t xml:space="preserve">Điều 1. </w:t>
            </w:r>
            <w:r w:rsidRPr="005C4655">
              <w:rPr>
                <w:b/>
                <w:lang w:val="vi-VN"/>
              </w:rPr>
              <w:t>Phạm vi điều chỉnh</w:t>
            </w:r>
          </w:p>
          <w:p w14:paraId="30BE45D8" w14:textId="77777777" w:rsidR="0061157D" w:rsidRPr="0061157D" w:rsidRDefault="0061157D" w:rsidP="0061157D">
            <w:pPr>
              <w:pBdr>
                <w:right w:val="none" w:sz="4" w:space="3" w:color="000000"/>
              </w:pBdr>
              <w:shd w:val="clear" w:color="auto" w:fill="FFFFFF"/>
              <w:ind w:firstLine="567"/>
              <w:jc w:val="both"/>
              <w:rPr>
                <w:bCs/>
              </w:rPr>
            </w:pPr>
            <w:r w:rsidRPr="0061157D">
              <w:rPr>
                <w:bCs/>
              </w:rPr>
              <w:t xml:space="preserve">Nghị quyết này quy định chính sách hỗ trợ đối với cán bộ, công chức, viên chức; người làm việc theo chế độ hợp đồng lao động trong các cơ quan, tổ chức, đơn vị trên địa bàn tỉnh Hải Dương (trước khi hợp nhất) được tỉnh giao biên chế, hưởng lương từ ngân sách nhà nước di chuyển </w:t>
            </w:r>
            <w:r w:rsidRPr="0061157D">
              <w:rPr>
                <w:bCs/>
                <w:lang w:val="nb-NO"/>
              </w:rPr>
              <w:t>đến làm việc tại thành phố Hải Phòng sau khi hợp nhất, bao gồm</w:t>
            </w:r>
            <w:r w:rsidRPr="0061157D">
              <w:rPr>
                <w:bCs/>
              </w:rPr>
              <w:t>:</w:t>
            </w:r>
          </w:p>
          <w:p w14:paraId="0E8A3AA0" w14:textId="77777777" w:rsidR="0061157D" w:rsidRPr="0061157D" w:rsidRDefault="0061157D" w:rsidP="0061157D">
            <w:pPr>
              <w:pBdr>
                <w:right w:val="none" w:sz="4" w:space="3" w:color="000000"/>
              </w:pBdr>
              <w:shd w:val="clear" w:color="auto" w:fill="FFFFFF"/>
              <w:ind w:firstLine="567"/>
              <w:jc w:val="both"/>
              <w:rPr>
                <w:bCs/>
              </w:rPr>
            </w:pPr>
            <w:r w:rsidRPr="0061157D">
              <w:rPr>
                <w:bCs/>
              </w:rPr>
              <w:t>1. Các cơ quan của Đảng Cộng sản Việt Nam, Nhà nước, Mặt trận Tổ quốc Việt Nam, tổ chức chính trị - xã hội ở cấp tỉnh.</w:t>
            </w:r>
          </w:p>
          <w:p w14:paraId="67F7C6B8" w14:textId="77777777" w:rsidR="0061157D" w:rsidRPr="0061157D" w:rsidRDefault="0061157D" w:rsidP="0061157D">
            <w:pPr>
              <w:pBdr>
                <w:right w:val="none" w:sz="4" w:space="3" w:color="000000"/>
              </w:pBdr>
              <w:shd w:val="clear" w:color="auto" w:fill="FFFFFF"/>
              <w:ind w:firstLine="567"/>
              <w:jc w:val="both"/>
              <w:rPr>
                <w:bCs/>
              </w:rPr>
            </w:pPr>
            <w:r w:rsidRPr="0061157D">
              <w:rPr>
                <w:bCs/>
              </w:rPr>
              <w:t>2. Các đơn vị sự nghiệp công lập: Cơ quan Đảng, các tổ chức chính trị - xã hội cấp tỉnh, Ủy ban nhân dân tỉnh, sở, ban, ngành và tương đương.</w:t>
            </w:r>
          </w:p>
          <w:p w14:paraId="278F5C55" w14:textId="77777777" w:rsidR="0061157D" w:rsidRPr="0061157D" w:rsidRDefault="0061157D" w:rsidP="0061157D">
            <w:pPr>
              <w:pBdr>
                <w:right w:val="none" w:sz="4" w:space="3" w:color="000000"/>
              </w:pBdr>
              <w:shd w:val="clear" w:color="auto" w:fill="FFFFFF"/>
              <w:ind w:firstLine="567"/>
              <w:jc w:val="both"/>
              <w:rPr>
                <w:bCs/>
              </w:rPr>
            </w:pPr>
            <w:r w:rsidRPr="0061157D">
              <w:rPr>
                <w:bCs/>
              </w:rPr>
              <w:t>3. Các hội do Đảng, nhà nước giao nhiệm vụ ở cấp tỉnh.</w:t>
            </w:r>
          </w:p>
          <w:p w14:paraId="73A2F2F2" w14:textId="22A333F1" w:rsidR="001D4E12" w:rsidRPr="0013503C" w:rsidRDefault="001D4E12" w:rsidP="00C916CD">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p>
        </w:tc>
        <w:tc>
          <w:tcPr>
            <w:tcW w:w="4501" w:type="dxa"/>
          </w:tcPr>
          <w:p w14:paraId="43F1CC23" w14:textId="1BE50898" w:rsidR="001D4E12" w:rsidRDefault="00FD4637" w:rsidP="00C916CD">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r>
              <w:rPr>
                <w:lang w:val="nb-NO"/>
              </w:rPr>
              <w:t xml:space="preserve"> </w:t>
            </w:r>
            <w:r w:rsidRPr="00FD4637">
              <w:t xml:space="preserve">Làm rõ phạm vi áp dụng chính sách, bảo đảm hiệu lực thi hành đúng đối tượng chuyển công tác do sắp xếp bộ máy hành chính sau hợp nhất. Phù hợp với chủ trương của Đảng về sắp xếp tổ chức bộ máy tinh gọn, hoạt động hiệu lực, hiệu quả. </w:t>
            </w:r>
          </w:p>
          <w:p w14:paraId="23CEE6DF" w14:textId="5FA95D34" w:rsidR="00340248" w:rsidRPr="0064626F" w:rsidRDefault="0091665D" w:rsidP="0091665D">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color w:val="FF0000"/>
                <w:spacing w:val="-4"/>
                <w:lang w:val="nb-NO"/>
              </w:rPr>
            </w:pPr>
            <w:r>
              <w:rPr>
                <w:lang w:val="nb-NO"/>
              </w:rPr>
              <w:t>Phù hợp với quy chủ trương chung của Đảng, pháp luật nhà nước và thực tiễn tại địa phương.</w:t>
            </w:r>
          </w:p>
          <w:p w14:paraId="718F27E2" w14:textId="537BBFAB" w:rsidR="00340248" w:rsidRPr="0013503C" w:rsidRDefault="00340248" w:rsidP="00C916CD">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p>
        </w:tc>
      </w:tr>
      <w:tr w:rsidR="00683075" w:rsidRPr="0013503C" w14:paraId="7B1A9E1B" w14:textId="77777777" w:rsidTr="007B4910">
        <w:tc>
          <w:tcPr>
            <w:tcW w:w="4561" w:type="dxa"/>
          </w:tcPr>
          <w:p w14:paraId="47801C74" w14:textId="77777777" w:rsidR="00564BBA" w:rsidRPr="00325BF4" w:rsidRDefault="00564BBA" w:rsidP="00564BBA">
            <w:pPr>
              <w:jc w:val="both"/>
              <w:rPr>
                <w:b/>
                <w:bCs/>
                <w:szCs w:val="28"/>
              </w:rPr>
            </w:pPr>
            <w:r w:rsidRPr="00325BF4">
              <w:rPr>
                <w:b/>
                <w:bCs/>
                <w:szCs w:val="28"/>
              </w:rPr>
              <w:t>2. Đối tượng áp dụng</w:t>
            </w:r>
          </w:p>
          <w:p w14:paraId="18D07A7D" w14:textId="77777777" w:rsidR="00564BBA" w:rsidRPr="00325BF4" w:rsidRDefault="00564BBA" w:rsidP="00BC627F">
            <w:pPr>
              <w:ind w:firstLine="595"/>
              <w:jc w:val="both"/>
              <w:rPr>
                <w:szCs w:val="28"/>
              </w:rPr>
            </w:pPr>
            <w:r w:rsidRPr="00325BF4">
              <w:rPr>
                <w:szCs w:val="28"/>
              </w:rPr>
              <w:t>1. Cán bộ, công chức, viên chức, người làm việc theo chế độ hợp đồng lao động trong các cơ quan, tổ chức, đơn vị trên địa bàn tỉnh Hải Dương (trước khi hợp nhất) đến làm việc tại thành phố Hải Phòng sau khi hợp nhất, bao gồm:</w:t>
            </w:r>
          </w:p>
          <w:p w14:paraId="10F7D9EA" w14:textId="77777777" w:rsidR="00564BBA" w:rsidRPr="00325BF4" w:rsidRDefault="00564BBA" w:rsidP="00BC627F">
            <w:pPr>
              <w:ind w:firstLine="595"/>
              <w:jc w:val="both"/>
              <w:rPr>
                <w:szCs w:val="28"/>
              </w:rPr>
            </w:pPr>
            <w:bookmarkStart w:id="1" w:name="diem_c_1_2"/>
            <w:r w:rsidRPr="00325BF4">
              <w:rPr>
                <w:szCs w:val="28"/>
              </w:rPr>
              <w:t>a) Cán bộ, công chức, viên chức;</w:t>
            </w:r>
          </w:p>
          <w:p w14:paraId="0F6FAAF2" w14:textId="77777777" w:rsidR="00564BBA" w:rsidRPr="00325BF4" w:rsidRDefault="00564BBA" w:rsidP="00BC627F">
            <w:pPr>
              <w:ind w:firstLine="595"/>
              <w:jc w:val="both"/>
              <w:rPr>
                <w:szCs w:val="28"/>
              </w:rPr>
            </w:pPr>
            <w:r w:rsidRPr="00325BF4">
              <w:rPr>
                <w:szCs w:val="28"/>
              </w:rPr>
              <w:t>b) Người làm việc theo chế độ hợp đồng lao động một số loại công việc trong các cơ quan hành chính và đơn vị sự nghiệp công lập theo quy định của pháp luật lao động trước thời điểm ngày 15 tháng 01 năm 2019 và người làm việc theo chế độ hợp đồng lao động được áp dụng chính sách như công chức;</w:t>
            </w:r>
            <w:bookmarkEnd w:id="1"/>
          </w:p>
          <w:p w14:paraId="49FDBD96" w14:textId="77777777" w:rsidR="00564BBA" w:rsidRPr="00325BF4" w:rsidRDefault="00564BBA" w:rsidP="00BC627F">
            <w:pPr>
              <w:ind w:firstLine="595"/>
              <w:jc w:val="both"/>
              <w:rPr>
                <w:szCs w:val="28"/>
              </w:rPr>
            </w:pPr>
            <w:r w:rsidRPr="00325BF4">
              <w:rPr>
                <w:szCs w:val="28"/>
              </w:rPr>
              <w:t xml:space="preserve">2. Các tổ chức, cá nhân khác có liên quan đến sử dụng kinh phí chi thường xuyên ngân sách nhà nước hưởng chính sách hỗ trợ cán bộ, công chức, viên chức và người lao </w:t>
            </w:r>
            <w:r w:rsidRPr="00325BF4">
              <w:rPr>
                <w:szCs w:val="28"/>
              </w:rPr>
              <w:lastRenderedPageBreak/>
              <w:t>động tại tỉnh Hải Dương đến làm việc tại thành phố Hải Phòng sau khi hợp nhất.</w:t>
            </w:r>
          </w:p>
          <w:p w14:paraId="4651C3E2" w14:textId="64205595" w:rsidR="00683075" w:rsidRPr="00AE1DAB" w:rsidRDefault="00683075" w:rsidP="00AE1DAB">
            <w:pPr>
              <w:shd w:val="clear" w:color="auto" w:fill="FFFFFF"/>
              <w:spacing w:before="120" w:after="120" w:line="320" w:lineRule="exact"/>
              <w:ind w:firstLine="567"/>
              <w:jc w:val="both"/>
            </w:pPr>
          </w:p>
        </w:tc>
        <w:tc>
          <w:tcPr>
            <w:tcW w:w="4501" w:type="dxa"/>
          </w:tcPr>
          <w:p w14:paraId="023F6325" w14:textId="703E19BB" w:rsidR="00306898" w:rsidRDefault="00306898" w:rsidP="00306898">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r>
              <w:rPr>
                <w:lang w:val="nb-NO"/>
              </w:rPr>
              <w:lastRenderedPageBreak/>
              <w:t>Quy định này nhằm làm rõ đối tượng áp dụng chính sách, đảm bảo chính sách hỗ trợ hiệu quả, trọng tâm đạt đúng mục tiêu chính sách đề ra nhằm tạo điều kiện thuận lợi cho việc sắp xếp tổ chức bộ máy.</w:t>
            </w:r>
          </w:p>
          <w:p w14:paraId="49D49310" w14:textId="725F3F75" w:rsidR="00306898" w:rsidRPr="0013503C" w:rsidRDefault="00FD4637" w:rsidP="00C916CD">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r>
              <w:t>Phù hợp với thực tiễn triển khai và thực hiện các chính sách liên quan đến sắp xếp tổ chức bộ máy, nhân sự tại địa phương.</w:t>
            </w:r>
          </w:p>
        </w:tc>
      </w:tr>
      <w:tr w:rsidR="00AE1DAB" w:rsidRPr="0013503C" w14:paraId="21FC6844" w14:textId="77777777" w:rsidTr="007B4910">
        <w:tc>
          <w:tcPr>
            <w:tcW w:w="4561" w:type="dxa"/>
          </w:tcPr>
          <w:p w14:paraId="49A1CD75" w14:textId="77777777" w:rsidR="00367EE6" w:rsidRPr="008F44D2" w:rsidRDefault="00367EE6" w:rsidP="00367EE6">
            <w:pPr>
              <w:shd w:val="clear" w:color="auto" w:fill="FFFFFF"/>
              <w:ind w:firstLine="567"/>
              <w:jc w:val="both"/>
              <w:rPr>
                <w:b/>
                <w:bCs/>
              </w:rPr>
            </w:pPr>
            <w:r w:rsidRPr="008F44D2">
              <w:rPr>
                <w:b/>
                <w:bCs/>
              </w:rPr>
              <w:t>Điều 3. Chính sách hỗ trợ</w:t>
            </w:r>
          </w:p>
          <w:p w14:paraId="5F53CFF4" w14:textId="77777777" w:rsidR="00367EE6" w:rsidRPr="00367EE6" w:rsidRDefault="00367EE6" w:rsidP="00367EE6">
            <w:pPr>
              <w:shd w:val="clear" w:color="auto" w:fill="FFFFFF"/>
              <w:ind w:firstLine="567"/>
              <w:jc w:val="both"/>
              <w:rPr>
                <w:bCs/>
              </w:rPr>
            </w:pPr>
            <w:r w:rsidRPr="00367EE6">
              <w:rPr>
                <w:bCs/>
              </w:rPr>
              <w:t>1. Đối tượng quy định tại khoản 1 Điều 2 Nghị quyết này được hưởng chính sách hỗ trợ một lần, mức hỗ trợ 23 triệu đồng/người.</w:t>
            </w:r>
          </w:p>
          <w:p w14:paraId="2D5DA44D" w14:textId="77777777" w:rsidR="00367EE6" w:rsidRPr="00367EE6" w:rsidRDefault="00367EE6" w:rsidP="00367EE6">
            <w:pPr>
              <w:shd w:val="clear" w:color="auto" w:fill="FFFFFF"/>
              <w:ind w:firstLine="567"/>
              <w:jc w:val="both"/>
              <w:rPr>
                <w:bCs/>
              </w:rPr>
            </w:pPr>
            <w:r w:rsidRPr="00367EE6">
              <w:rPr>
                <w:bCs/>
              </w:rPr>
              <w:t>2. Các trường hợp phải bồi hoàn kinh phí hỗ trợ:</w:t>
            </w:r>
          </w:p>
          <w:p w14:paraId="7C74DD95" w14:textId="77777777" w:rsidR="00367EE6" w:rsidRPr="00367EE6" w:rsidRDefault="00367EE6" w:rsidP="00367EE6">
            <w:pPr>
              <w:shd w:val="clear" w:color="auto" w:fill="FFFFFF"/>
              <w:ind w:firstLine="567"/>
              <w:jc w:val="both"/>
              <w:rPr>
                <w:bCs/>
              </w:rPr>
            </w:pPr>
            <w:r w:rsidRPr="00367EE6">
              <w:rPr>
                <w:bCs/>
              </w:rPr>
              <w:t>a) Trường hợp đã hưởng chính sách hỗ trợ tại khoản 1 Điều 3 Nghị quyết này nhưng sau đó thực hiện quyết định của cấp có thẩm quyền không đến công tác tại thành phố Hải Phòng sau hợp nhất.</w:t>
            </w:r>
          </w:p>
          <w:p w14:paraId="2A65A580" w14:textId="061E9CEF" w:rsidR="00367EE6" w:rsidRPr="00367EE6" w:rsidRDefault="00367EE6" w:rsidP="00367EE6">
            <w:pPr>
              <w:shd w:val="clear" w:color="auto" w:fill="FFFFFF"/>
              <w:ind w:firstLine="567"/>
              <w:jc w:val="both"/>
              <w:rPr>
                <w:bCs/>
              </w:rPr>
            </w:pPr>
            <w:r w:rsidRPr="00367EE6">
              <w:rPr>
                <w:bCs/>
              </w:rPr>
              <w:t>b) Trường hợp đã hưởng chính sách hỗ trợ tại khoản 1 Điều 4 Nghị quyết này nhưng có nguyện vọng không tiếp tục công tác tại thành phố Hải Phòng hoặc được nghỉ việc theo các chính sách khác của nhà nước, được cấp có thẩm quyền đồng ý trước ngày 31/12/2025 (không bao gồm đối tượng cơ quan, tổ chức, đơn vị đánh giá phải nghỉ việc hoặc cơ quan phân công quay trở lại công tác trên địa bàn tỉnh Hải Dương theo yêu cầu nhiệm vụ).</w:t>
            </w:r>
          </w:p>
          <w:p w14:paraId="3BDB105F" w14:textId="1AAF1413" w:rsidR="00AE1DAB" w:rsidRPr="00131DBD" w:rsidRDefault="00AE1DAB" w:rsidP="00131DBD">
            <w:pPr>
              <w:shd w:val="clear" w:color="auto" w:fill="FFFFFF"/>
              <w:spacing w:before="120" w:after="120" w:line="320" w:lineRule="exact"/>
              <w:ind w:firstLine="567"/>
              <w:jc w:val="both"/>
            </w:pPr>
          </w:p>
        </w:tc>
        <w:tc>
          <w:tcPr>
            <w:tcW w:w="4501" w:type="dxa"/>
          </w:tcPr>
          <w:p w14:paraId="5C841ECB" w14:textId="77777777" w:rsidR="009B0707" w:rsidRDefault="005050F5" w:rsidP="00C916CD">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r>
              <w:rPr>
                <w:lang w:val="nb-NO"/>
              </w:rPr>
              <w:t xml:space="preserve">Quy định chính sách hỗ trợ về tài chính, thiết kế theo hướng đơn giản, rõ ràng, dễ triển khai thực hiện và dễ kiểm soát: </w:t>
            </w:r>
          </w:p>
          <w:p w14:paraId="6FDE1492" w14:textId="2ECA6E7B" w:rsidR="00AE1DAB" w:rsidRDefault="005050F5" w:rsidP="00C916CD">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r>
              <w:rPr>
                <w:lang w:val="nb-NO"/>
              </w:rPr>
              <w:t>Thực hiện hỗ trợ một lần ngay khi có quyết định phê duyệt của cấp có thẩm quyền; đồng thời, có cơ chế thu hồi kinh phí hỗ trợ khi không thực hiện di chuyển</w:t>
            </w:r>
            <w:r w:rsidR="00C34E0F">
              <w:rPr>
                <w:lang w:val="nb-NO"/>
              </w:rPr>
              <w:t xml:space="preserve"> hoặc trong quá trình công tác được nghỉ thôi việc theo chính sách khác của nhà nước</w:t>
            </w:r>
            <w:r w:rsidR="00275200">
              <w:rPr>
                <w:lang w:val="nb-NO"/>
              </w:rPr>
              <w:t xml:space="preserve"> làm tăng tính ràng buộc cũng như trách nhiệm đối với người được nhận hỗ trợ.</w:t>
            </w:r>
          </w:p>
          <w:p w14:paraId="5E0FDF75" w14:textId="138C14CE" w:rsidR="00275200" w:rsidRDefault="00275200" w:rsidP="00C916CD">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r w:rsidRPr="00275200">
              <w:t>Hiện pháp luật chưa có quy định cụ thể</w:t>
            </w:r>
            <w:r>
              <w:t xml:space="preserve"> về mức hỗ trợ</w:t>
            </w:r>
            <w:r w:rsidRPr="00275200">
              <w:t xml:space="preserve">, </w:t>
            </w:r>
            <w:r>
              <w:t>quy định tại</w:t>
            </w:r>
            <w:r w:rsidRPr="00275200">
              <w:t xml:space="preserve"> dự thảo mang tính đặc thù, phù hợp với tình hình thực tế.</w:t>
            </w:r>
          </w:p>
        </w:tc>
      </w:tr>
      <w:tr w:rsidR="00131DBD" w:rsidRPr="0013503C" w14:paraId="184B1FED" w14:textId="77777777" w:rsidTr="007B4910">
        <w:tc>
          <w:tcPr>
            <w:tcW w:w="4561" w:type="dxa"/>
          </w:tcPr>
          <w:p w14:paraId="65982A38" w14:textId="77777777" w:rsidR="003F1B10" w:rsidRDefault="003F1B10" w:rsidP="003F1B10">
            <w:pPr>
              <w:ind w:firstLine="567"/>
              <w:jc w:val="both"/>
            </w:pPr>
            <w:r>
              <w:rPr>
                <w:b/>
                <w:bCs/>
              </w:rPr>
              <w:t>Điều 4. Kinh phí thực hiện, trách nhiệm chi trả và thu hồi kinh phí</w:t>
            </w:r>
          </w:p>
          <w:p w14:paraId="19988AE6" w14:textId="77777777" w:rsidR="003F1B10" w:rsidRDefault="003F1B10" w:rsidP="003F1B10">
            <w:pPr>
              <w:ind w:firstLine="567"/>
              <w:jc w:val="both"/>
              <w:rPr>
                <w:szCs w:val="28"/>
              </w:rPr>
            </w:pPr>
            <w:r>
              <w:rPr>
                <w:szCs w:val="28"/>
              </w:rPr>
              <w:t xml:space="preserve">1. </w:t>
            </w:r>
            <w:r w:rsidRPr="00295995">
              <w:rPr>
                <w:szCs w:val="28"/>
              </w:rPr>
              <w:t>Kinh phí thực hiện</w:t>
            </w:r>
            <w:r>
              <w:rPr>
                <w:szCs w:val="28"/>
              </w:rPr>
              <w:t xml:space="preserve"> chính sách</w:t>
            </w:r>
            <w:r w:rsidRPr="00295995">
              <w:rPr>
                <w:szCs w:val="28"/>
              </w:rPr>
              <w:t xml:space="preserve"> từ nguồn ngân sách tỉnh.</w:t>
            </w:r>
          </w:p>
          <w:p w14:paraId="0C156A42" w14:textId="3EED6529" w:rsidR="003F1B10" w:rsidRDefault="003F1B10" w:rsidP="003F1B10">
            <w:pPr>
              <w:ind w:firstLine="567"/>
              <w:jc w:val="both"/>
              <w:rPr>
                <w:szCs w:val="28"/>
              </w:rPr>
            </w:pPr>
            <w:r>
              <w:rPr>
                <w:bCs/>
              </w:rPr>
              <w:t xml:space="preserve">2. </w:t>
            </w:r>
            <w:r w:rsidRPr="00B53C5E">
              <w:rPr>
                <w:szCs w:val="28"/>
              </w:rPr>
              <w:t xml:space="preserve">Sau khi nhận được kinh phí hỗ trợ của cơ quan có thẩm quyền cấp, Thủ trưởng cơ quan, tổ chức, đơn vị (Chủ tài khoản) có trách nhiệm chi trả tiền hỗ trợ </w:t>
            </w:r>
            <w:r w:rsidRPr="00C3096D">
              <w:rPr>
                <w:szCs w:val="28"/>
                <w:shd w:val="clear" w:color="auto" w:fill="FFFFFF"/>
              </w:rPr>
              <w:t>vào tài khoản tiền gửi tại ngân hàng của</w:t>
            </w:r>
            <w:r w:rsidRPr="00B53C5E">
              <w:rPr>
                <w:szCs w:val="28"/>
              </w:rPr>
              <w:t xml:space="preserve"> cán bộ, công chức, viên chức và người lao động, </w:t>
            </w:r>
            <w:r w:rsidRPr="007068B3">
              <w:rPr>
                <w:szCs w:val="28"/>
              </w:rPr>
              <w:t xml:space="preserve">hoàn thành xong trước ngày </w:t>
            </w:r>
            <w:r w:rsidR="00353E70" w:rsidRPr="007068B3">
              <w:rPr>
                <w:szCs w:val="28"/>
              </w:rPr>
              <w:t>15</w:t>
            </w:r>
            <w:r w:rsidRPr="007068B3">
              <w:rPr>
                <w:szCs w:val="28"/>
              </w:rPr>
              <w:t xml:space="preserve">/8/2025. </w:t>
            </w:r>
          </w:p>
          <w:p w14:paraId="2C9A0B24" w14:textId="77777777" w:rsidR="003F1B10" w:rsidRDefault="003F1B10" w:rsidP="003F1B10">
            <w:pPr>
              <w:ind w:firstLine="567"/>
              <w:jc w:val="both"/>
              <w:rPr>
                <w:color w:val="000000"/>
                <w:szCs w:val="28"/>
                <w:shd w:val="clear" w:color="auto" w:fill="FFFFFF"/>
              </w:rPr>
            </w:pPr>
            <w:r>
              <w:rPr>
                <w:szCs w:val="28"/>
              </w:rPr>
              <w:t xml:space="preserve">3. </w:t>
            </w:r>
            <w:r w:rsidRPr="0022070D">
              <w:t>Cơ quan, tổ chức, đơn vị</w:t>
            </w:r>
            <w:r>
              <w:t xml:space="preserve"> trực tiếp</w:t>
            </w:r>
            <w:r w:rsidRPr="0022070D">
              <w:t xml:space="preserve"> quản lý cán bộ công </w:t>
            </w:r>
            <w:r w:rsidRPr="00B53C5E">
              <w:t xml:space="preserve">chức, viên chức và người lao động có trách nhiệm thu hồi tiền bồi hoàn kinh phí đã hỗ trợ đối với các trường hợp phải bồi hoàn quy định tại khoản 2 Điều 4 Nghị quyết này </w:t>
            </w:r>
            <w:r w:rsidRPr="00B53C5E">
              <w:rPr>
                <w:szCs w:val="28"/>
                <w:shd w:val="clear" w:color="auto" w:fill="FFFFFF"/>
              </w:rPr>
              <w:t>để nộp trả ngân sách nhà nước qua hệ thống Kho bạc nhà nước.</w:t>
            </w:r>
          </w:p>
          <w:p w14:paraId="03B5D2DC" w14:textId="315281DB" w:rsidR="00131DBD" w:rsidRPr="00131DBD" w:rsidRDefault="00131DBD" w:rsidP="00131DBD">
            <w:pPr>
              <w:shd w:val="clear" w:color="auto" w:fill="FFFFFF"/>
              <w:spacing w:before="120" w:after="120" w:line="320" w:lineRule="exact"/>
              <w:ind w:firstLine="567"/>
              <w:jc w:val="both"/>
            </w:pPr>
          </w:p>
        </w:tc>
        <w:tc>
          <w:tcPr>
            <w:tcW w:w="4501" w:type="dxa"/>
          </w:tcPr>
          <w:p w14:paraId="70DE858C" w14:textId="27D57561" w:rsidR="00131DBD" w:rsidRDefault="003F1B10" w:rsidP="00C916CD">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r>
              <w:rPr>
                <w:lang w:val="nb-NO"/>
              </w:rPr>
              <w:t xml:space="preserve">- </w:t>
            </w:r>
            <w:r w:rsidR="00D52C40">
              <w:rPr>
                <w:lang w:val="nb-NO"/>
              </w:rPr>
              <w:t xml:space="preserve">Quy định nguồn kinh phí thực hiện chính sách ngân sách tỉnh, thể hiện trách nhiệm của tỉnh trong việc chăm lo đời sống của CBCCVC và người lao động trong bối cảnh thực hiện chủ trương của Trung ương. </w:t>
            </w:r>
          </w:p>
          <w:p w14:paraId="16CEA809" w14:textId="77777777" w:rsidR="00DC3792" w:rsidRDefault="00DC3792" w:rsidP="00C916CD">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r>
              <w:rPr>
                <w:lang w:val="nb-NO"/>
              </w:rPr>
              <w:t>Quy định này phù hợp phân cấp quản lý ngân sách nhà nước.</w:t>
            </w:r>
          </w:p>
          <w:p w14:paraId="68EB1266" w14:textId="03AC9E86" w:rsidR="00AF4963" w:rsidRDefault="003F1B10" w:rsidP="0091095F">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pPr>
            <w:r>
              <w:rPr>
                <w:lang w:val="nb-NO"/>
              </w:rPr>
              <w:t xml:space="preserve">- </w:t>
            </w:r>
            <w:r w:rsidR="00AF4963">
              <w:t xml:space="preserve">Việc quy định rõ </w:t>
            </w:r>
            <w:r w:rsidR="00AF4963" w:rsidRPr="00AF4963">
              <w:rPr>
                <w:rStyle w:val="Strong"/>
                <w:b w:val="0"/>
              </w:rPr>
              <w:t>thời điểm chi trả</w:t>
            </w:r>
            <w:r w:rsidR="00AF4963" w:rsidRPr="00AF4963">
              <w:rPr>
                <w:b/>
              </w:rPr>
              <w:t xml:space="preserve">, </w:t>
            </w:r>
            <w:r w:rsidR="00AF4963" w:rsidRPr="00AF4963">
              <w:rPr>
                <w:rStyle w:val="Strong"/>
                <w:b w:val="0"/>
              </w:rPr>
              <w:t>cơ chế thu hồi</w:t>
            </w:r>
            <w:r w:rsidR="00AF4963" w:rsidRPr="00AF4963">
              <w:rPr>
                <w:b/>
              </w:rPr>
              <w:t xml:space="preserve"> </w:t>
            </w:r>
            <w:r w:rsidR="00AF4963" w:rsidRPr="00AF4963">
              <w:t>g</w:t>
            </w:r>
            <w:r w:rsidR="00AF4963">
              <w:t xml:space="preserve">iúp tăng tính minh bạch, hiệu quả và kiểm soát tài chính công. </w:t>
            </w:r>
          </w:p>
          <w:p w14:paraId="71670581" w14:textId="115E1123" w:rsidR="003F1B10" w:rsidRDefault="0091095F" w:rsidP="0091095F">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r w:rsidRPr="00275200">
              <w:t>Hiện pháp luật chưa có quy định cụ thể</w:t>
            </w:r>
            <w:r>
              <w:t xml:space="preserve"> về mức hỗ trợ</w:t>
            </w:r>
            <w:r w:rsidRPr="00275200">
              <w:t xml:space="preserve">, </w:t>
            </w:r>
            <w:r>
              <w:t>quy định tại</w:t>
            </w:r>
            <w:r w:rsidRPr="00275200">
              <w:t xml:space="preserve"> dự thảo mang tính đặc thù, phù hợp với tình hình thực tế.</w:t>
            </w:r>
          </w:p>
        </w:tc>
      </w:tr>
      <w:tr w:rsidR="00D52C40" w:rsidRPr="0013503C" w14:paraId="45008AE9" w14:textId="77777777" w:rsidTr="007B4910">
        <w:tc>
          <w:tcPr>
            <w:tcW w:w="4561" w:type="dxa"/>
          </w:tcPr>
          <w:p w14:paraId="7A3E83BB" w14:textId="77777777" w:rsidR="00F313F4" w:rsidRDefault="00D52C40" w:rsidP="004C14CA">
            <w:pPr>
              <w:pStyle w:val="NormalWeb"/>
              <w:shd w:val="clear" w:color="auto" w:fill="FFFFFF"/>
              <w:spacing w:before="0" w:beforeAutospacing="0" w:after="0" w:afterAutospacing="0"/>
              <w:ind w:firstLine="567"/>
              <w:jc w:val="both"/>
              <w:rPr>
                <w:lang w:val="nb-NO"/>
              </w:rPr>
            </w:pPr>
            <w:r w:rsidRPr="00D52C40">
              <w:rPr>
                <w:b/>
                <w:lang w:val="nb-NO"/>
              </w:rPr>
              <w:t xml:space="preserve">Điều 5. </w:t>
            </w:r>
            <w:r w:rsidR="00F313F4">
              <w:rPr>
                <w:b/>
                <w:bCs/>
              </w:rPr>
              <w:t>Điều khoản thi hành</w:t>
            </w:r>
            <w:r w:rsidR="00F313F4" w:rsidRPr="00D52C40">
              <w:rPr>
                <w:lang w:val="nb-NO"/>
              </w:rPr>
              <w:t xml:space="preserve"> </w:t>
            </w:r>
          </w:p>
          <w:p w14:paraId="3A62466E" w14:textId="77777777" w:rsidR="00401A65" w:rsidRDefault="00401A65" w:rsidP="004C14CA">
            <w:pPr>
              <w:ind w:firstLine="567"/>
              <w:jc w:val="both"/>
            </w:pPr>
            <w:r>
              <w:t xml:space="preserve">1. Nghị quyết này </w:t>
            </w:r>
            <w:r w:rsidRPr="000F42CB">
              <w:rPr>
                <w:bCs/>
                <w:szCs w:val="28"/>
              </w:rPr>
              <w:t xml:space="preserve">có hiệu lực thi hành kể từ ngày … tháng </w:t>
            </w:r>
            <w:r>
              <w:rPr>
                <w:bCs/>
                <w:szCs w:val="28"/>
              </w:rPr>
              <w:t>…</w:t>
            </w:r>
            <w:r w:rsidRPr="000F42CB">
              <w:rPr>
                <w:bCs/>
                <w:szCs w:val="28"/>
              </w:rPr>
              <w:t xml:space="preserve"> năm 202</w:t>
            </w:r>
            <w:r>
              <w:rPr>
                <w:bCs/>
                <w:szCs w:val="28"/>
              </w:rPr>
              <w:t>5.</w:t>
            </w:r>
          </w:p>
          <w:p w14:paraId="6734AB12" w14:textId="77777777" w:rsidR="00401A65" w:rsidRDefault="00401A65" w:rsidP="004C14CA">
            <w:pPr>
              <w:ind w:firstLine="567"/>
              <w:jc w:val="both"/>
            </w:pPr>
            <w:r>
              <w:lastRenderedPageBreak/>
              <w:t>2. Giao Ủy ban nhân dân tỉnh triển khai thực hiện Nghị quyết.</w:t>
            </w:r>
          </w:p>
          <w:p w14:paraId="75D6FE07" w14:textId="0BD2044C" w:rsidR="00D52C40" w:rsidRPr="00D52C40" w:rsidRDefault="00401A65" w:rsidP="004C14CA">
            <w:pPr>
              <w:ind w:firstLine="567"/>
              <w:jc w:val="both"/>
              <w:rPr>
                <w:spacing w:val="4"/>
                <w:lang w:val="nb-NO"/>
              </w:rPr>
            </w:pPr>
            <w:r>
              <w:t>3. Thường trực Hội đồng nhân dân tỉnh, các Ban Hội đồng nhân dân tỉnh, các Tổ đại biểu Hội đồng nhân dân tỉnh và các đại biểu Hội đồng nhân dân tỉnh giám sát việc thực hiện Nghị quyết.</w:t>
            </w:r>
          </w:p>
        </w:tc>
        <w:tc>
          <w:tcPr>
            <w:tcW w:w="4501" w:type="dxa"/>
          </w:tcPr>
          <w:p w14:paraId="53DC499A" w14:textId="3613ED4E" w:rsidR="00D52C40" w:rsidRDefault="000B5260" w:rsidP="00F60451">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r w:rsidRPr="000B5260">
              <w:lastRenderedPageBreak/>
              <w:t xml:space="preserve">Phù hợp </w:t>
            </w:r>
            <w:r w:rsidRPr="00F60451">
              <w:t xml:space="preserve">với </w:t>
            </w:r>
            <w:r w:rsidRPr="00F60451">
              <w:rPr>
                <w:bCs/>
              </w:rPr>
              <w:t>Luật Tổ chức chính quyền địa phương 20</w:t>
            </w:r>
            <w:r w:rsidR="00F60451" w:rsidRPr="00F60451">
              <w:rPr>
                <w:bCs/>
              </w:rPr>
              <w:t>25</w:t>
            </w:r>
            <w:r w:rsidRPr="00F60451">
              <w:t xml:space="preserve"> về</w:t>
            </w:r>
            <w:r w:rsidRPr="000B5260">
              <w:t xml:space="preserve"> thẩm quyền b</w:t>
            </w:r>
            <w:r w:rsidR="00F60451">
              <w:t>an hành và trách nhiệm của HĐND tỉnh</w:t>
            </w:r>
            <w:r w:rsidRPr="000B5260">
              <w:t xml:space="preserve">. Đảm bảo tính thống nhất, chặt chẽ trong triển khai thực </w:t>
            </w:r>
            <w:r w:rsidRPr="000B5260">
              <w:lastRenderedPageBreak/>
              <w:t>hiện, nâng cao trách nhiệm của các bên liên quan trong giám sát, tổ chức thi hành.</w:t>
            </w:r>
          </w:p>
        </w:tc>
      </w:tr>
    </w:tbl>
    <w:p w14:paraId="6AB2E654" w14:textId="77777777" w:rsidR="0013503C" w:rsidRPr="0013503C" w:rsidRDefault="0013503C" w:rsidP="0013503C">
      <w:pPr>
        <w:pStyle w:val="NormalWeb"/>
        <w:shd w:val="clear" w:color="auto" w:fill="FFFFFF"/>
        <w:spacing w:before="60" w:beforeAutospacing="0" w:after="0" w:afterAutospacing="0"/>
        <w:jc w:val="both"/>
        <w:rPr>
          <w:b/>
          <w:bCs/>
          <w:sz w:val="12"/>
          <w:szCs w:val="12"/>
          <w:lang w:val="nb-NO"/>
        </w:rPr>
      </w:pPr>
    </w:p>
    <w:sectPr w:rsidR="0013503C" w:rsidRPr="0013503C" w:rsidSect="008F7730">
      <w:headerReference w:type="default" r:id="rId7"/>
      <w:pgSz w:w="11907" w:h="16840"/>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F31B4" w14:textId="77777777" w:rsidR="0046354D" w:rsidRDefault="0046354D">
      <w:r>
        <w:separator/>
      </w:r>
    </w:p>
  </w:endnote>
  <w:endnote w:type="continuationSeparator" w:id="0">
    <w:p w14:paraId="3259B88E" w14:textId="77777777" w:rsidR="0046354D" w:rsidRDefault="0046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charset w:val="00"/>
    <w:family w:val="auto"/>
    <w:pitch w:val="default"/>
  </w:font>
  <w:font w:name="Arial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A4B54" w14:textId="77777777" w:rsidR="0046354D" w:rsidRDefault="0046354D">
      <w:r>
        <w:separator/>
      </w:r>
    </w:p>
  </w:footnote>
  <w:footnote w:type="continuationSeparator" w:id="0">
    <w:p w14:paraId="5F30B9E8" w14:textId="77777777" w:rsidR="0046354D" w:rsidRDefault="00463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5065106"/>
    </w:sdtPr>
    <w:sdtEndPr/>
    <w:sdtContent>
      <w:p w14:paraId="3C3E5C3D" w14:textId="2E195CE5" w:rsidR="00D7338E" w:rsidRDefault="009C4B40">
        <w:pPr>
          <w:pStyle w:val="Header"/>
          <w:jc w:val="center"/>
        </w:pPr>
        <w:r>
          <w:fldChar w:fldCharType="begin"/>
        </w:r>
        <w:r>
          <w:instrText>PAGE \* MERGEFORMAT</w:instrText>
        </w:r>
        <w:r>
          <w:fldChar w:fldCharType="separate"/>
        </w:r>
        <w:r w:rsidR="00BE3B3B">
          <w:rPr>
            <w:noProof/>
          </w:rPr>
          <w:t>3</w:t>
        </w:r>
        <w:r>
          <w:fldChar w:fldCharType="end"/>
        </w:r>
      </w:p>
    </w:sdtContent>
  </w:sdt>
  <w:p w14:paraId="3F6556BE" w14:textId="77777777" w:rsidR="00D7338E" w:rsidRDefault="00D7338E">
    <w:pPr>
      <w:pStyle w:val="Header"/>
      <w:jc w:val="cent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0FEC"/>
    <w:multiLevelType w:val="hybridMultilevel"/>
    <w:tmpl w:val="EA1611B2"/>
    <w:lvl w:ilvl="0" w:tplc="61BCEA7A">
      <w:start w:val="3"/>
      <w:numFmt w:val="bullet"/>
      <w:lvlText w:val="-"/>
      <w:lvlJc w:val="left"/>
      <w:pPr>
        <w:ind w:left="153" w:hanging="358"/>
      </w:pPr>
      <w:rPr>
        <w:rFonts w:ascii="Times New Roman" w:eastAsia="Calibri" w:hAnsi="Times New Roman" w:cs="Times New Roman" w:hint="default"/>
      </w:rPr>
    </w:lvl>
    <w:lvl w:ilvl="1" w:tplc="090EAEFA">
      <w:start w:val="1"/>
      <w:numFmt w:val="bullet"/>
      <w:lvlText w:val="o"/>
      <w:lvlJc w:val="left"/>
      <w:pPr>
        <w:ind w:left="873" w:hanging="358"/>
      </w:pPr>
      <w:rPr>
        <w:rFonts w:ascii="Courier New" w:hAnsi="Courier New" w:cs="Courier New" w:hint="default"/>
      </w:rPr>
    </w:lvl>
    <w:lvl w:ilvl="2" w:tplc="2278D80C">
      <w:start w:val="1"/>
      <w:numFmt w:val="bullet"/>
      <w:lvlText w:val=""/>
      <w:lvlJc w:val="left"/>
      <w:pPr>
        <w:ind w:left="1593" w:hanging="358"/>
      </w:pPr>
      <w:rPr>
        <w:rFonts w:ascii="Wingdings" w:hAnsi="Wingdings" w:hint="default"/>
      </w:rPr>
    </w:lvl>
    <w:lvl w:ilvl="3" w:tplc="EF6491D4">
      <w:start w:val="1"/>
      <w:numFmt w:val="bullet"/>
      <w:lvlText w:val=""/>
      <w:lvlJc w:val="left"/>
      <w:pPr>
        <w:ind w:left="2313" w:hanging="358"/>
      </w:pPr>
      <w:rPr>
        <w:rFonts w:ascii="Symbol" w:hAnsi="Symbol" w:hint="default"/>
      </w:rPr>
    </w:lvl>
    <w:lvl w:ilvl="4" w:tplc="FD205172">
      <w:start w:val="1"/>
      <w:numFmt w:val="bullet"/>
      <w:lvlText w:val="o"/>
      <w:lvlJc w:val="left"/>
      <w:pPr>
        <w:ind w:left="3033" w:hanging="358"/>
      </w:pPr>
      <w:rPr>
        <w:rFonts w:ascii="Courier New" w:hAnsi="Courier New" w:cs="Courier New" w:hint="default"/>
      </w:rPr>
    </w:lvl>
    <w:lvl w:ilvl="5" w:tplc="F1D2B348">
      <w:start w:val="1"/>
      <w:numFmt w:val="bullet"/>
      <w:lvlText w:val=""/>
      <w:lvlJc w:val="left"/>
      <w:pPr>
        <w:ind w:left="3753" w:hanging="358"/>
      </w:pPr>
      <w:rPr>
        <w:rFonts w:ascii="Wingdings" w:hAnsi="Wingdings" w:hint="default"/>
      </w:rPr>
    </w:lvl>
    <w:lvl w:ilvl="6" w:tplc="6666B184">
      <w:start w:val="1"/>
      <w:numFmt w:val="bullet"/>
      <w:lvlText w:val=""/>
      <w:lvlJc w:val="left"/>
      <w:pPr>
        <w:ind w:left="4473" w:hanging="358"/>
      </w:pPr>
      <w:rPr>
        <w:rFonts w:ascii="Symbol" w:hAnsi="Symbol" w:hint="default"/>
      </w:rPr>
    </w:lvl>
    <w:lvl w:ilvl="7" w:tplc="C7A0FA0E">
      <w:start w:val="1"/>
      <w:numFmt w:val="bullet"/>
      <w:lvlText w:val="o"/>
      <w:lvlJc w:val="left"/>
      <w:pPr>
        <w:ind w:left="5193" w:hanging="358"/>
      </w:pPr>
      <w:rPr>
        <w:rFonts w:ascii="Courier New" w:hAnsi="Courier New" w:cs="Courier New" w:hint="default"/>
      </w:rPr>
    </w:lvl>
    <w:lvl w:ilvl="8" w:tplc="955C98B2">
      <w:start w:val="1"/>
      <w:numFmt w:val="bullet"/>
      <w:lvlText w:val=""/>
      <w:lvlJc w:val="left"/>
      <w:pPr>
        <w:ind w:left="5913" w:hanging="358"/>
      </w:pPr>
      <w:rPr>
        <w:rFonts w:ascii="Wingdings" w:hAnsi="Wingdings" w:hint="default"/>
      </w:rPr>
    </w:lvl>
  </w:abstractNum>
  <w:abstractNum w:abstractNumId="1" w15:restartNumberingAfterBreak="0">
    <w:nsid w:val="219C14AF"/>
    <w:multiLevelType w:val="hybridMultilevel"/>
    <w:tmpl w:val="597EC5B6"/>
    <w:lvl w:ilvl="0" w:tplc="6E122C9C">
      <w:start w:val="2"/>
      <w:numFmt w:val="bullet"/>
      <w:lvlText w:val="-"/>
      <w:lvlJc w:val="left"/>
      <w:pPr>
        <w:ind w:left="927" w:hanging="358"/>
      </w:pPr>
      <w:rPr>
        <w:rFonts w:ascii="Times New Roman" w:eastAsia="Times New Roman" w:hAnsi="Times New Roman" w:cs="Times New Roman" w:hint="default"/>
      </w:rPr>
    </w:lvl>
    <w:lvl w:ilvl="1" w:tplc="C8145886">
      <w:start w:val="1"/>
      <w:numFmt w:val="bullet"/>
      <w:lvlText w:val="o"/>
      <w:lvlJc w:val="left"/>
      <w:pPr>
        <w:ind w:left="1647" w:hanging="358"/>
      </w:pPr>
      <w:rPr>
        <w:rFonts w:ascii="Courier New" w:hAnsi="Courier New" w:cs="Courier New" w:hint="default"/>
      </w:rPr>
    </w:lvl>
    <w:lvl w:ilvl="2" w:tplc="992E1F5C">
      <w:start w:val="1"/>
      <w:numFmt w:val="bullet"/>
      <w:lvlText w:val=""/>
      <w:lvlJc w:val="left"/>
      <w:pPr>
        <w:ind w:left="2367" w:hanging="358"/>
      </w:pPr>
      <w:rPr>
        <w:rFonts w:ascii="Wingdings" w:hAnsi="Wingdings" w:hint="default"/>
      </w:rPr>
    </w:lvl>
    <w:lvl w:ilvl="3" w:tplc="81889F6A">
      <w:start w:val="1"/>
      <w:numFmt w:val="bullet"/>
      <w:lvlText w:val=""/>
      <w:lvlJc w:val="left"/>
      <w:pPr>
        <w:ind w:left="3087" w:hanging="358"/>
      </w:pPr>
      <w:rPr>
        <w:rFonts w:ascii="Symbol" w:hAnsi="Symbol" w:hint="default"/>
      </w:rPr>
    </w:lvl>
    <w:lvl w:ilvl="4" w:tplc="14CA0EE8">
      <w:start w:val="1"/>
      <w:numFmt w:val="bullet"/>
      <w:lvlText w:val="o"/>
      <w:lvlJc w:val="left"/>
      <w:pPr>
        <w:ind w:left="3807" w:hanging="358"/>
      </w:pPr>
      <w:rPr>
        <w:rFonts w:ascii="Courier New" w:hAnsi="Courier New" w:cs="Courier New" w:hint="default"/>
      </w:rPr>
    </w:lvl>
    <w:lvl w:ilvl="5" w:tplc="24D426DC">
      <w:start w:val="1"/>
      <w:numFmt w:val="bullet"/>
      <w:lvlText w:val=""/>
      <w:lvlJc w:val="left"/>
      <w:pPr>
        <w:ind w:left="4527" w:hanging="358"/>
      </w:pPr>
      <w:rPr>
        <w:rFonts w:ascii="Wingdings" w:hAnsi="Wingdings" w:hint="default"/>
      </w:rPr>
    </w:lvl>
    <w:lvl w:ilvl="6" w:tplc="40FC90DA">
      <w:start w:val="1"/>
      <w:numFmt w:val="bullet"/>
      <w:lvlText w:val=""/>
      <w:lvlJc w:val="left"/>
      <w:pPr>
        <w:ind w:left="5247" w:hanging="358"/>
      </w:pPr>
      <w:rPr>
        <w:rFonts w:ascii="Symbol" w:hAnsi="Symbol" w:hint="default"/>
      </w:rPr>
    </w:lvl>
    <w:lvl w:ilvl="7" w:tplc="6DF004BC">
      <w:start w:val="1"/>
      <w:numFmt w:val="bullet"/>
      <w:lvlText w:val="o"/>
      <w:lvlJc w:val="left"/>
      <w:pPr>
        <w:ind w:left="5967" w:hanging="358"/>
      </w:pPr>
      <w:rPr>
        <w:rFonts w:ascii="Courier New" w:hAnsi="Courier New" w:cs="Courier New" w:hint="default"/>
      </w:rPr>
    </w:lvl>
    <w:lvl w:ilvl="8" w:tplc="EC10ADD2">
      <w:start w:val="1"/>
      <w:numFmt w:val="bullet"/>
      <w:lvlText w:val=""/>
      <w:lvlJc w:val="left"/>
      <w:pPr>
        <w:ind w:left="6687" w:hanging="358"/>
      </w:pPr>
      <w:rPr>
        <w:rFonts w:ascii="Wingdings" w:hAnsi="Wingdings" w:hint="default"/>
      </w:rPr>
    </w:lvl>
  </w:abstractNum>
  <w:abstractNum w:abstractNumId="2" w15:restartNumberingAfterBreak="0">
    <w:nsid w:val="25626457"/>
    <w:multiLevelType w:val="hybridMultilevel"/>
    <w:tmpl w:val="711E104C"/>
    <w:lvl w:ilvl="0" w:tplc="76AE9268">
      <w:start w:val="1"/>
      <w:numFmt w:val="bullet"/>
      <w:lvlText w:val="-"/>
      <w:lvlJc w:val="left"/>
      <w:pPr>
        <w:ind w:left="720" w:hanging="358"/>
      </w:pPr>
      <w:rPr>
        <w:rFonts w:ascii="Times New Roman" w:eastAsia="Times New Roman" w:hAnsi="Times New Roman" w:cs="Times New Roman" w:hint="default"/>
      </w:rPr>
    </w:lvl>
    <w:lvl w:ilvl="1" w:tplc="09C8870E">
      <w:start w:val="1"/>
      <w:numFmt w:val="bullet"/>
      <w:lvlText w:val="o"/>
      <w:lvlJc w:val="left"/>
      <w:pPr>
        <w:ind w:left="1440" w:hanging="358"/>
      </w:pPr>
      <w:rPr>
        <w:rFonts w:ascii="Courier New" w:hAnsi="Courier New" w:cs="Courier New" w:hint="default"/>
      </w:rPr>
    </w:lvl>
    <w:lvl w:ilvl="2" w:tplc="95021D20">
      <w:start w:val="1"/>
      <w:numFmt w:val="bullet"/>
      <w:lvlText w:val=""/>
      <w:lvlJc w:val="left"/>
      <w:pPr>
        <w:ind w:left="2160" w:hanging="358"/>
      </w:pPr>
      <w:rPr>
        <w:rFonts w:ascii="Wingdings" w:hAnsi="Wingdings" w:hint="default"/>
      </w:rPr>
    </w:lvl>
    <w:lvl w:ilvl="3" w:tplc="D6B45516">
      <w:start w:val="1"/>
      <w:numFmt w:val="bullet"/>
      <w:lvlText w:val=""/>
      <w:lvlJc w:val="left"/>
      <w:pPr>
        <w:ind w:left="2880" w:hanging="358"/>
      </w:pPr>
      <w:rPr>
        <w:rFonts w:ascii="Symbol" w:hAnsi="Symbol" w:hint="default"/>
      </w:rPr>
    </w:lvl>
    <w:lvl w:ilvl="4" w:tplc="A4864D82">
      <w:start w:val="1"/>
      <w:numFmt w:val="bullet"/>
      <w:lvlText w:val="o"/>
      <w:lvlJc w:val="left"/>
      <w:pPr>
        <w:ind w:left="3600" w:hanging="358"/>
      </w:pPr>
      <w:rPr>
        <w:rFonts w:ascii="Courier New" w:hAnsi="Courier New" w:cs="Courier New" w:hint="default"/>
      </w:rPr>
    </w:lvl>
    <w:lvl w:ilvl="5" w:tplc="C9DEF290">
      <w:start w:val="1"/>
      <w:numFmt w:val="bullet"/>
      <w:lvlText w:val=""/>
      <w:lvlJc w:val="left"/>
      <w:pPr>
        <w:ind w:left="4320" w:hanging="358"/>
      </w:pPr>
      <w:rPr>
        <w:rFonts w:ascii="Wingdings" w:hAnsi="Wingdings" w:hint="default"/>
      </w:rPr>
    </w:lvl>
    <w:lvl w:ilvl="6" w:tplc="22A6AC4E">
      <w:start w:val="1"/>
      <w:numFmt w:val="bullet"/>
      <w:lvlText w:val=""/>
      <w:lvlJc w:val="left"/>
      <w:pPr>
        <w:ind w:left="5040" w:hanging="358"/>
      </w:pPr>
      <w:rPr>
        <w:rFonts w:ascii="Symbol" w:hAnsi="Symbol" w:hint="default"/>
      </w:rPr>
    </w:lvl>
    <w:lvl w:ilvl="7" w:tplc="D3562936">
      <w:start w:val="1"/>
      <w:numFmt w:val="bullet"/>
      <w:lvlText w:val="o"/>
      <w:lvlJc w:val="left"/>
      <w:pPr>
        <w:ind w:left="5760" w:hanging="358"/>
      </w:pPr>
      <w:rPr>
        <w:rFonts w:ascii="Courier New" w:hAnsi="Courier New" w:cs="Courier New" w:hint="default"/>
      </w:rPr>
    </w:lvl>
    <w:lvl w:ilvl="8" w:tplc="810064EE">
      <w:start w:val="1"/>
      <w:numFmt w:val="bullet"/>
      <w:lvlText w:val=""/>
      <w:lvlJc w:val="left"/>
      <w:pPr>
        <w:ind w:left="6480" w:hanging="358"/>
      </w:pPr>
      <w:rPr>
        <w:rFonts w:ascii="Wingdings" w:hAnsi="Wingdings" w:hint="default"/>
      </w:rPr>
    </w:lvl>
  </w:abstractNum>
  <w:abstractNum w:abstractNumId="3" w15:restartNumberingAfterBreak="0">
    <w:nsid w:val="3BB60812"/>
    <w:multiLevelType w:val="hybridMultilevel"/>
    <w:tmpl w:val="AF665DA8"/>
    <w:lvl w:ilvl="0" w:tplc="8DD0D5DC">
      <w:start w:val="1"/>
      <w:numFmt w:val="lowerLetter"/>
      <w:lvlText w:val="%1)"/>
      <w:lvlJc w:val="left"/>
      <w:pPr>
        <w:ind w:left="927" w:hanging="358"/>
      </w:pPr>
      <w:rPr>
        <w:rFonts w:hint="default"/>
      </w:rPr>
    </w:lvl>
    <w:lvl w:ilvl="1" w:tplc="0E80C798">
      <w:start w:val="1"/>
      <w:numFmt w:val="lowerLetter"/>
      <w:lvlText w:val="%2."/>
      <w:lvlJc w:val="left"/>
      <w:pPr>
        <w:ind w:left="1647" w:hanging="358"/>
      </w:pPr>
    </w:lvl>
    <w:lvl w:ilvl="2" w:tplc="9A10CE5C">
      <w:start w:val="1"/>
      <w:numFmt w:val="lowerRoman"/>
      <w:lvlText w:val="%3."/>
      <w:lvlJc w:val="right"/>
      <w:pPr>
        <w:ind w:left="2367" w:hanging="178"/>
      </w:pPr>
    </w:lvl>
    <w:lvl w:ilvl="3" w:tplc="44B08D4C">
      <w:start w:val="1"/>
      <w:numFmt w:val="decimal"/>
      <w:lvlText w:val="%4."/>
      <w:lvlJc w:val="left"/>
      <w:pPr>
        <w:ind w:left="3087" w:hanging="358"/>
      </w:pPr>
    </w:lvl>
    <w:lvl w:ilvl="4" w:tplc="224C3ECC">
      <w:start w:val="1"/>
      <w:numFmt w:val="lowerLetter"/>
      <w:lvlText w:val="%5."/>
      <w:lvlJc w:val="left"/>
      <w:pPr>
        <w:ind w:left="3807" w:hanging="358"/>
      </w:pPr>
    </w:lvl>
    <w:lvl w:ilvl="5" w:tplc="A1665840">
      <w:start w:val="1"/>
      <w:numFmt w:val="lowerRoman"/>
      <w:lvlText w:val="%6."/>
      <w:lvlJc w:val="right"/>
      <w:pPr>
        <w:ind w:left="4527" w:hanging="178"/>
      </w:pPr>
    </w:lvl>
    <w:lvl w:ilvl="6" w:tplc="0046B3E0">
      <w:start w:val="1"/>
      <w:numFmt w:val="decimal"/>
      <w:lvlText w:val="%7."/>
      <w:lvlJc w:val="left"/>
      <w:pPr>
        <w:ind w:left="5247" w:hanging="358"/>
      </w:pPr>
    </w:lvl>
    <w:lvl w:ilvl="7" w:tplc="4358E67E">
      <w:start w:val="1"/>
      <w:numFmt w:val="lowerLetter"/>
      <w:lvlText w:val="%8."/>
      <w:lvlJc w:val="left"/>
      <w:pPr>
        <w:ind w:left="5967" w:hanging="358"/>
      </w:pPr>
    </w:lvl>
    <w:lvl w:ilvl="8" w:tplc="2828F2B4">
      <w:start w:val="1"/>
      <w:numFmt w:val="lowerRoman"/>
      <w:lvlText w:val="%9."/>
      <w:lvlJc w:val="right"/>
      <w:pPr>
        <w:ind w:left="6687" w:hanging="178"/>
      </w:pPr>
    </w:lvl>
  </w:abstractNum>
  <w:abstractNum w:abstractNumId="4" w15:restartNumberingAfterBreak="0">
    <w:nsid w:val="539E114A"/>
    <w:multiLevelType w:val="hybridMultilevel"/>
    <w:tmpl w:val="4A5C2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053546"/>
    <w:multiLevelType w:val="hybridMultilevel"/>
    <w:tmpl w:val="D8FCC2A8"/>
    <w:lvl w:ilvl="0" w:tplc="C310E5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4D3485E"/>
    <w:multiLevelType w:val="hybridMultilevel"/>
    <w:tmpl w:val="ED1ABE36"/>
    <w:lvl w:ilvl="0" w:tplc="C7B88642">
      <w:start w:val="2"/>
      <w:numFmt w:val="bullet"/>
      <w:lvlText w:val="-"/>
      <w:lvlJc w:val="left"/>
      <w:pPr>
        <w:ind w:left="927" w:hanging="358"/>
      </w:pPr>
      <w:rPr>
        <w:rFonts w:ascii="Times New Roman" w:eastAsia="Times New Roman" w:hAnsi="Times New Roman" w:cs="Times New Roman" w:hint="default"/>
      </w:rPr>
    </w:lvl>
    <w:lvl w:ilvl="1" w:tplc="251E7CCA">
      <w:start w:val="1"/>
      <w:numFmt w:val="bullet"/>
      <w:lvlText w:val="o"/>
      <w:lvlJc w:val="left"/>
      <w:pPr>
        <w:ind w:left="1647" w:hanging="358"/>
      </w:pPr>
      <w:rPr>
        <w:rFonts w:ascii="Courier New" w:hAnsi="Courier New" w:cs="Courier New" w:hint="default"/>
      </w:rPr>
    </w:lvl>
    <w:lvl w:ilvl="2" w:tplc="E9D8A848">
      <w:start w:val="1"/>
      <w:numFmt w:val="bullet"/>
      <w:lvlText w:val=""/>
      <w:lvlJc w:val="left"/>
      <w:pPr>
        <w:ind w:left="2367" w:hanging="358"/>
      </w:pPr>
      <w:rPr>
        <w:rFonts w:ascii="Wingdings" w:hAnsi="Wingdings" w:hint="default"/>
      </w:rPr>
    </w:lvl>
    <w:lvl w:ilvl="3" w:tplc="5BFAE430">
      <w:start w:val="1"/>
      <w:numFmt w:val="bullet"/>
      <w:lvlText w:val=""/>
      <w:lvlJc w:val="left"/>
      <w:pPr>
        <w:ind w:left="3087" w:hanging="358"/>
      </w:pPr>
      <w:rPr>
        <w:rFonts w:ascii="Symbol" w:hAnsi="Symbol" w:hint="default"/>
      </w:rPr>
    </w:lvl>
    <w:lvl w:ilvl="4" w:tplc="83BE8614">
      <w:start w:val="1"/>
      <w:numFmt w:val="bullet"/>
      <w:lvlText w:val="o"/>
      <w:lvlJc w:val="left"/>
      <w:pPr>
        <w:ind w:left="3807" w:hanging="358"/>
      </w:pPr>
      <w:rPr>
        <w:rFonts w:ascii="Courier New" w:hAnsi="Courier New" w:cs="Courier New" w:hint="default"/>
      </w:rPr>
    </w:lvl>
    <w:lvl w:ilvl="5" w:tplc="453C77CE">
      <w:start w:val="1"/>
      <w:numFmt w:val="bullet"/>
      <w:lvlText w:val=""/>
      <w:lvlJc w:val="left"/>
      <w:pPr>
        <w:ind w:left="4527" w:hanging="358"/>
      </w:pPr>
      <w:rPr>
        <w:rFonts w:ascii="Wingdings" w:hAnsi="Wingdings" w:hint="default"/>
      </w:rPr>
    </w:lvl>
    <w:lvl w:ilvl="6" w:tplc="8D4284C8">
      <w:start w:val="1"/>
      <w:numFmt w:val="bullet"/>
      <w:lvlText w:val=""/>
      <w:lvlJc w:val="left"/>
      <w:pPr>
        <w:ind w:left="5247" w:hanging="358"/>
      </w:pPr>
      <w:rPr>
        <w:rFonts w:ascii="Symbol" w:hAnsi="Symbol" w:hint="default"/>
      </w:rPr>
    </w:lvl>
    <w:lvl w:ilvl="7" w:tplc="5EC8B324">
      <w:start w:val="1"/>
      <w:numFmt w:val="bullet"/>
      <w:lvlText w:val="o"/>
      <w:lvlJc w:val="left"/>
      <w:pPr>
        <w:ind w:left="5967" w:hanging="358"/>
      </w:pPr>
      <w:rPr>
        <w:rFonts w:ascii="Courier New" w:hAnsi="Courier New" w:cs="Courier New" w:hint="default"/>
      </w:rPr>
    </w:lvl>
    <w:lvl w:ilvl="8" w:tplc="F22896A2">
      <w:start w:val="1"/>
      <w:numFmt w:val="bullet"/>
      <w:lvlText w:val=""/>
      <w:lvlJc w:val="left"/>
      <w:pPr>
        <w:ind w:left="6687" w:hanging="358"/>
      </w:pPr>
      <w:rPr>
        <w:rFonts w:ascii="Wingdings" w:hAnsi="Wingdings" w:hint="default"/>
      </w:rPr>
    </w:lvl>
  </w:abstractNum>
  <w:num w:numId="1">
    <w:abstractNumId w:val="0"/>
  </w:num>
  <w:num w:numId="2">
    <w:abstractNumId w:val="6"/>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38E"/>
    <w:rsid w:val="00000700"/>
    <w:rsid w:val="0000145D"/>
    <w:rsid w:val="000023CB"/>
    <w:rsid w:val="00006A67"/>
    <w:rsid w:val="0001427E"/>
    <w:rsid w:val="0001451E"/>
    <w:rsid w:val="000160EB"/>
    <w:rsid w:val="00016ADA"/>
    <w:rsid w:val="00021105"/>
    <w:rsid w:val="000213D9"/>
    <w:rsid w:val="00023F5D"/>
    <w:rsid w:val="000256A0"/>
    <w:rsid w:val="00027D7F"/>
    <w:rsid w:val="00033ACF"/>
    <w:rsid w:val="000419E4"/>
    <w:rsid w:val="00041F2D"/>
    <w:rsid w:val="00042F76"/>
    <w:rsid w:val="00044425"/>
    <w:rsid w:val="00044AE5"/>
    <w:rsid w:val="000514E9"/>
    <w:rsid w:val="0005223D"/>
    <w:rsid w:val="00054D4D"/>
    <w:rsid w:val="00055D92"/>
    <w:rsid w:val="00063511"/>
    <w:rsid w:val="00072D5F"/>
    <w:rsid w:val="0007371A"/>
    <w:rsid w:val="0007402A"/>
    <w:rsid w:val="00085523"/>
    <w:rsid w:val="000860E6"/>
    <w:rsid w:val="0008664C"/>
    <w:rsid w:val="00091C21"/>
    <w:rsid w:val="000962BF"/>
    <w:rsid w:val="000A2999"/>
    <w:rsid w:val="000A66DB"/>
    <w:rsid w:val="000A6E9C"/>
    <w:rsid w:val="000B5260"/>
    <w:rsid w:val="000B5769"/>
    <w:rsid w:val="000C7DBF"/>
    <w:rsid w:val="000E0561"/>
    <w:rsid w:val="000E2653"/>
    <w:rsid w:val="000E71AF"/>
    <w:rsid w:val="000F46AB"/>
    <w:rsid w:val="001027DF"/>
    <w:rsid w:val="001053AB"/>
    <w:rsid w:val="001064B8"/>
    <w:rsid w:val="00113CD0"/>
    <w:rsid w:val="001147FD"/>
    <w:rsid w:val="00117C26"/>
    <w:rsid w:val="0012314E"/>
    <w:rsid w:val="00123817"/>
    <w:rsid w:val="00125508"/>
    <w:rsid w:val="00131DBD"/>
    <w:rsid w:val="00132DBB"/>
    <w:rsid w:val="001336A8"/>
    <w:rsid w:val="0013503C"/>
    <w:rsid w:val="001365C7"/>
    <w:rsid w:val="00136D41"/>
    <w:rsid w:val="001407FF"/>
    <w:rsid w:val="00140EA0"/>
    <w:rsid w:val="00144548"/>
    <w:rsid w:val="00150ED6"/>
    <w:rsid w:val="00153B72"/>
    <w:rsid w:val="00154DE8"/>
    <w:rsid w:val="00156AC0"/>
    <w:rsid w:val="001641D6"/>
    <w:rsid w:val="00172185"/>
    <w:rsid w:val="00175857"/>
    <w:rsid w:val="00176D48"/>
    <w:rsid w:val="0018333B"/>
    <w:rsid w:val="00185B16"/>
    <w:rsid w:val="001A1AFB"/>
    <w:rsid w:val="001A7232"/>
    <w:rsid w:val="001A742F"/>
    <w:rsid w:val="001A7FF4"/>
    <w:rsid w:val="001B3CEE"/>
    <w:rsid w:val="001B620F"/>
    <w:rsid w:val="001B65C7"/>
    <w:rsid w:val="001C5C6A"/>
    <w:rsid w:val="001D36D3"/>
    <w:rsid w:val="001D4E12"/>
    <w:rsid w:val="001D7B73"/>
    <w:rsid w:val="001E2964"/>
    <w:rsid w:val="001E3AF8"/>
    <w:rsid w:val="001F190F"/>
    <w:rsid w:val="001F461F"/>
    <w:rsid w:val="002026C7"/>
    <w:rsid w:val="002156E8"/>
    <w:rsid w:val="002163CD"/>
    <w:rsid w:val="00216EE9"/>
    <w:rsid w:val="00217614"/>
    <w:rsid w:val="00217619"/>
    <w:rsid w:val="00231D2B"/>
    <w:rsid w:val="002340E5"/>
    <w:rsid w:val="00251B36"/>
    <w:rsid w:val="0025608C"/>
    <w:rsid w:val="002572B2"/>
    <w:rsid w:val="00264D08"/>
    <w:rsid w:val="002673AB"/>
    <w:rsid w:val="002673B4"/>
    <w:rsid w:val="00271310"/>
    <w:rsid w:val="00271D14"/>
    <w:rsid w:val="0027285A"/>
    <w:rsid w:val="00272CCA"/>
    <w:rsid w:val="00275200"/>
    <w:rsid w:val="00280884"/>
    <w:rsid w:val="00282969"/>
    <w:rsid w:val="002844FA"/>
    <w:rsid w:val="002A0192"/>
    <w:rsid w:val="002A2BBB"/>
    <w:rsid w:val="002B2077"/>
    <w:rsid w:val="002B2413"/>
    <w:rsid w:val="002B4D91"/>
    <w:rsid w:val="002B7826"/>
    <w:rsid w:val="002C04C5"/>
    <w:rsid w:val="002C0D1A"/>
    <w:rsid w:val="002C1323"/>
    <w:rsid w:val="002C20A3"/>
    <w:rsid w:val="002C40B5"/>
    <w:rsid w:val="002C7719"/>
    <w:rsid w:val="002D7F40"/>
    <w:rsid w:val="002E0F3B"/>
    <w:rsid w:val="002E54BA"/>
    <w:rsid w:val="002F2DC2"/>
    <w:rsid w:val="002F2FFA"/>
    <w:rsid w:val="002F6385"/>
    <w:rsid w:val="00300A13"/>
    <w:rsid w:val="0030115B"/>
    <w:rsid w:val="00303FB9"/>
    <w:rsid w:val="00306898"/>
    <w:rsid w:val="00310642"/>
    <w:rsid w:val="00311967"/>
    <w:rsid w:val="00317B05"/>
    <w:rsid w:val="00317F2C"/>
    <w:rsid w:val="00321422"/>
    <w:rsid w:val="00327973"/>
    <w:rsid w:val="00340248"/>
    <w:rsid w:val="00341EBB"/>
    <w:rsid w:val="0034449A"/>
    <w:rsid w:val="00351DD1"/>
    <w:rsid w:val="00352A89"/>
    <w:rsid w:val="00353E70"/>
    <w:rsid w:val="00354CD7"/>
    <w:rsid w:val="0035605F"/>
    <w:rsid w:val="00363C12"/>
    <w:rsid w:val="0036798E"/>
    <w:rsid w:val="00367EE6"/>
    <w:rsid w:val="003702FC"/>
    <w:rsid w:val="00375A9E"/>
    <w:rsid w:val="003837AB"/>
    <w:rsid w:val="00384420"/>
    <w:rsid w:val="00386E36"/>
    <w:rsid w:val="00387AE0"/>
    <w:rsid w:val="00392A8D"/>
    <w:rsid w:val="003A23BD"/>
    <w:rsid w:val="003A2A35"/>
    <w:rsid w:val="003B2F8C"/>
    <w:rsid w:val="003C178F"/>
    <w:rsid w:val="003C233D"/>
    <w:rsid w:val="003C3684"/>
    <w:rsid w:val="003C6B6A"/>
    <w:rsid w:val="003D4EF5"/>
    <w:rsid w:val="003E1791"/>
    <w:rsid w:val="003F1B10"/>
    <w:rsid w:val="003F79AD"/>
    <w:rsid w:val="00401299"/>
    <w:rsid w:val="00401A65"/>
    <w:rsid w:val="0041592E"/>
    <w:rsid w:val="00416628"/>
    <w:rsid w:val="00423BA7"/>
    <w:rsid w:val="004247F3"/>
    <w:rsid w:val="00424D44"/>
    <w:rsid w:val="00434740"/>
    <w:rsid w:val="00437FCE"/>
    <w:rsid w:val="00440D16"/>
    <w:rsid w:val="00441E91"/>
    <w:rsid w:val="00443918"/>
    <w:rsid w:val="00453ED7"/>
    <w:rsid w:val="00460CD6"/>
    <w:rsid w:val="0046354D"/>
    <w:rsid w:val="00467151"/>
    <w:rsid w:val="00475E99"/>
    <w:rsid w:val="00481DFA"/>
    <w:rsid w:val="00484D96"/>
    <w:rsid w:val="0048501E"/>
    <w:rsid w:val="004A6F2F"/>
    <w:rsid w:val="004B31AC"/>
    <w:rsid w:val="004B6B23"/>
    <w:rsid w:val="004B741F"/>
    <w:rsid w:val="004C14CA"/>
    <w:rsid w:val="004C1D80"/>
    <w:rsid w:val="004C539D"/>
    <w:rsid w:val="004D6F11"/>
    <w:rsid w:val="004E12EC"/>
    <w:rsid w:val="004E294B"/>
    <w:rsid w:val="004E6729"/>
    <w:rsid w:val="004F0291"/>
    <w:rsid w:val="00502B77"/>
    <w:rsid w:val="005050F5"/>
    <w:rsid w:val="00505C67"/>
    <w:rsid w:val="0051205F"/>
    <w:rsid w:val="0051366A"/>
    <w:rsid w:val="00534DC1"/>
    <w:rsid w:val="00536A80"/>
    <w:rsid w:val="005373CA"/>
    <w:rsid w:val="0054157B"/>
    <w:rsid w:val="005522AE"/>
    <w:rsid w:val="0055232B"/>
    <w:rsid w:val="00564BBA"/>
    <w:rsid w:val="005650F4"/>
    <w:rsid w:val="00565ABE"/>
    <w:rsid w:val="00567B42"/>
    <w:rsid w:val="00573A4F"/>
    <w:rsid w:val="00576A1C"/>
    <w:rsid w:val="005860C9"/>
    <w:rsid w:val="005867E1"/>
    <w:rsid w:val="00595DB2"/>
    <w:rsid w:val="00596FD6"/>
    <w:rsid w:val="00597EAD"/>
    <w:rsid w:val="005A1D79"/>
    <w:rsid w:val="005B07D4"/>
    <w:rsid w:val="005B3F8B"/>
    <w:rsid w:val="005B7680"/>
    <w:rsid w:val="005C7F14"/>
    <w:rsid w:val="005D4E9C"/>
    <w:rsid w:val="005E3008"/>
    <w:rsid w:val="005E3FBC"/>
    <w:rsid w:val="005E50ED"/>
    <w:rsid w:val="005F1E1B"/>
    <w:rsid w:val="005F2C2B"/>
    <w:rsid w:val="005F2CB6"/>
    <w:rsid w:val="005F3D28"/>
    <w:rsid w:val="005F7BCC"/>
    <w:rsid w:val="00600045"/>
    <w:rsid w:val="006018B5"/>
    <w:rsid w:val="006106AA"/>
    <w:rsid w:val="0061083B"/>
    <w:rsid w:val="0061157D"/>
    <w:rsid w:val="0061185C"/>
    <w:rsid w:val="006149DF"/>
    <w:rsid w:val="00614CE0"/>
    <w:rsid w:val="00615CAF"/>
    <w:rsid w:val="00620B30"/>
    <w:rsid w:val="006236A4"/>
    <w:rsid w:val="006241C8"/>
    <w:rsid w:val="00625CCC"/>
    <w:rsid w:val="00635957"/>
    <w:rsid w:val="006365F4"/>
    <w:rsid w:val="00637DB9"/>
    <w:rsid w:val="00647971"/>
    <w:rsid w:val="00650B3A"/>
    <w:rsid w:val="00656C37"/>
    <w:rsid w:val="00665AB5"/>
    <w:rsid w:val="00665B4C"/>
    <w:rsid w:val="00670CD4"/>
    <w:rsid w:val="00671288"/>
    <w:rsid w:val="00683075"/>
    <w:rsid w:val="00683E57"/>
    <w:rsid w:val="0069022F"/>
    <w:rsid w:val="006957D1"/>
    <w:rsid w:val="00696A31"/>
    <w:rsid w:val="006A3CA0"/>
    <w:rsid w:val="006B3F7C"/>
    <w:rsid w:val="006B4ACE"/>
    <w:rsid w:val="006C0BBB"/>
    <w:rsid w:val="006C197E"/>
    <w:rsid w:val="006C2B6F"/>
    <w:rsid w:val="006C6B92"/>
    <w:rsid w:val="006D0432"/>
    <w:rsid w:val="006D3CC1"/>
    <w:rsid w:val="006E53AE"/>
    <w:rsid w:val="00703CC0"/>
    <w:rsid w:val="00705673"/>
    <w:rsid w:val="007068B3"/>
    <w:rsid w:val="00713405"/>
    <w:rsid w:val="007159B7"/>
    <w:rsid w:val="00716645"/>
    <w:rsid w:val="00717756"/>
    <w:rsid w:val="007203ED"/>
    <w:rsid w:val="0072061E"/>
    <w:rsid w:val="0072078C"/>
    <w:rsid w:val="00720E4E"/>
    <w:rsid w:val="00722F79"/>
    <w:rsid w:val="0072541C"/>
    <w:rsid w:val="007329D8"/>
    <w:rsid w:val="00732A95"/>
    <w:rsid w:val="00734A54"/>
    <w:rsid w:val="007471FD"/>
    <w:rsid w:val="00747FB5"/>
    <w:rsid w:val="0075229D"/>
    <w:rsid w:val="00756A35"/>
    <w:rsid w:val="00757FB2"/>
    <w:rsid w:val="007617F7"/>
    <w:rsid w:val="007704EE"/>
    <w:rsid w:val="0077081D"/>
    <w:rsid w:val="00776B7A"/>
    <w:rsid w:val="00784943"/>
    <w:rsid w:val="00785E6F"/>
    <w:rsid w:val="00790F4F"/>
    <w:rsid w:val="0079480C"/>
    <w:rsid w:val="007977CC"/>
    <w:rsid w:val="00797867"/>
    <w:rsid w:val="007A14C3"/>
    <w:rsid w:val="007A442B"/>
    <w:rsid w:val="007B12DE"/>
    <w:rsid w:val="007B28D8"/>
    <w:rsid w:val="007C27DB"/>
    <w:rsid w:val="007D0142"/>
    <w:rsid w:val="007D13A9"/>
    <w:rsid w:val="007E3C1B"/>
    <w:rsid w:val="007F18E7"/>
    <w:rsid w:val="007F2CFF"/>
    <w:rsid w:val="007F34A6"/>
    <w:rsid w:val="00800A62"/>
    <w:rsid w:val="0080150C"/>
    <w:rsid w:val="00801909"/>
    <w:rsid w:val="00807195"/>
    <w:rsid w:val="00811CFB"/>
    <w:rsid w:val="008137BA"/>
    <w:rsid w:val="00816696"/>
    <w:rsid w:val="00821824"/>
    <w:rsid w:val="00821DE0"/>
    <w:rsid w:val="00823323"/>
    <w:rsid w:val="00824550"/>
    <w:rsid w:val="00827051"/>
    <w:rsid w:val="00832ACC"/>
    <w:rsid w:val="00835CDD"/>
    <w:rsid w:val="00840CC2"/>
    <w:rsid w:val="008424B2"/>
    <w:rsid w:val="00842F01"/>
    <w:rsid w:val="00847153"/>
    <w:rsid w:val="00852502"/>
    <w:rsid w:val="008632DD"/>
    <w:rsid w:val="008700D8"/>
    <w:rsid w:val="00870AAC"/>
    <w:rsid w:val="00872B23"/>
    <w:rsid w:val="00873237"/>
    <w:rsid w:val="00885DDF"/>
    <w:rsid w:val="00896160"/>
    <w:rsid w:val="008A01BB"/>
    <w:rsid w:val="008A27E8"/>
    <w:rsid w:val="008A52D4"/>
    <w:rsid w:val="008A6398"/>
    <w:rsid w:val="008B24B1"/>
    <w:rsid w:val="008B3C2E"/>
    <w:rsid w:val="008B40D1"/>
    <w:rsid w:val="008B6C93"/>
    <w:rsid w:val="008B7970"/>
    <w:rsid w:val="008D1A6E"/>
    <w:rsid w:val="008D4860"/>
    <w:rsid w:val="008D5EC7"/>
    <w:rsid w:val="008D631C"/>
    <w:rsid w:val="008E0670"/>
    <w:rsid w:val="008E1839"/>
    <w:rsid w:val="008E34A5"/>
    <w:rsid w:val="008E64BB"/>
    <w:rsid w:val="008E67C7"/>
    <w:rsid w:val="008F0107"/>
    <w:rsid w:val="008F3A34"/>
    <w:rsid w:val="008F44D2"/>
    <w:rsid w:val="008F7730"/>
    <w:rsid w:val="009012A4"/>
    <w:rsid w:val="009020E9"/>
    <w:rsid w:val="00903290"/>
    <w:rsid w:val="009066DD"/>
    <w:rsid w:val="00906AE9"/>
    <w:rsid w:val="0091095F"/>
    <w:rsid w:val="00910E6F"/>
    <w:rsid w:val="0091665D"/>
    <w:rsid w:val="00921E2C"/>
    <w:rsid w:val="00931727"/>
    <w:rsid w:val="00940BD5"/>
    <w:rsid w:val="0094791C"/>
    <w:rsid w:val="00950E34"/>
    <w:rsid w:val="0095655B"/>
    <w:rsid w:val="009577F7"/>
    <w:rsid w:val="00960513"/>
    <w:rsid w:val="00961C43"/>
    <w:rsid w:val="00961D84"/>
    <w:rsid w:val="00966063"/>
    <w:rsid w:val="009677B5"/>
    <w:rsid w:val="009717DB"/>
    <w:rsid w:val="0097190F"/>
    <w:rsid w:val="00975757"/>
    <w:rsid w:val="00983F43"/>
    <w:rsid w:val="0098428E"/>
    <w:rsid w:val="0098568D"/>
    <w:rsid w:val="00992D77"/>
    <w:rsid w:val="009966F1"/>
    <w:rsid w:val="00997E70"/>
    <w:rsid w:val="009A34E7"/>
    <w:rsid w:val="009A5009"/>
    <w:rsid w:val="009A57CA"/>
    <w:rsid w:val="009A73A5"/>
    <w:rsid w:val="009B0707"/>
    <w:rsid w:val="009B1BC5"/>
    <w:rsid w:val="009B3B85"/>
    <w:rsid w:val="009B4281"/>
    <w:rsid w:val="009B7DE5"/>
    <w:rsid w:val="009C0DFA"/>
    <w:rsid w:val="009C4B40"/>
    <w:rsid w:val="009C5202"/>
    <w:rsid w:val="009C616F"/>
    <w:rsid w:val="009C72FE"/>
    <w:rsid w:val="009D3ABD"/>
    <w:rsid w:val="009D479C"/>
    <w:rsid w:val="009E2213"/>
    <w:rsid w:val="009E2B90"/>
    <w:rsid w:val="009E2F4F"/>
    <w:rsid w:val="009F2B93"/>
    <w:rsid w:val="009F4E82"/>
    <w:rsid w:val="00A0326D"/>
    <w:rsid w:val="00A07E02"/>
    <w:rsid w:val="00A125DD"/>
    <w:rsid w:val="00A218EA"/>
    <w:rsid w:val="00A2386A"/>
    <w:rsid w:val="00A27C54"/>
    <w:rsid w:val="00A44153"/>
    <w:rsid w:val="00A5340C"/>
    <w:rsid w:val="00A54199"/>
    <w:rsid w:val="00A56A8F"/>
    <w:rsid w:val="00A61E94"/>
    <w:rsid w:val="00A737B1"/>
    <w:rsid w:val="00A73F29"/>
    <w:rsid w:val="00A77BF7"/>
    <w:rsid w:val="00A80D42"/>
    <w:rsid w:val="00A8302F"/>
    <w:rsid w:val="00A85AFD"/>
    <w:rsid w:val="00A93D2D"/>
    <w:rsid w:val="00A9446D"/>
    <w:rsid w:val="00AA31AD"/>
    <w:rsid w:val="00AB0015"/>
    <w:rsid w:val="00AB0AFA"/>
    <w:rsid w:val="00AB5297"/>
    <w:rsid w:val="00AB5ABC"/>
    <w:rsid w:val="00AC0C00"/>
    <w:rsid w:val="00AC2854"/>
    <w:rsid w:val="00AC59AD"/>
    <w:rsid w:val="00AD39B7"/>
    <w:rsid w:val="00AD3C6D"/>
    <w:rsid w:val="00AE1582"/>
    <w:rsid w:val="00AE1DAB"/>
    <w:rsid w:val="00AF0429"/>
    <w:rsid w:val="00AF0B2A"/>
    <w:rsid w:val="00AF4963"/>
    <w:rsid w:val="00AF6BE3"/>
    <w:rsid w:val="00B106E4"/>
    <w:rsid w:val="00B11BC0"/>
    <w:rsid w:val="00B134DD"/>
    <w:rsid w:val="00B16781"/>
    <w:rsid w:val="00B16819"/>
    <w:rsid w:val="00B30775"/>
    <w:rsid w:val="00B30805"/>
    <w:rsid w:val="00B30AA7"/>
    <w:rsid w:val="00B31CE9"/>
    <w:rsid w:val="00B33B11"/>
    <w:rsid w:val="00B4112C"/>
    <w:rsid w:val="00B44799"/>
    <w:rsid w:val="00B4721E"/>
    <w:rsid w:val="00B47481"/>
    <w:rsid w:val="00B527BB"/>
    <w:rsid w:val="00B559A9"/>
    <w:rsid w:val="00B61CA0"/>
    <w:rsid w:val="00B6422E"/>
    <w:rsid w:val="00B65783"/>
    <w:rsid w:val="00B702A2"/>
    <w:rsid w:val="00B72DAA"/>
    <w:rsid w:val="00B73384"/>
    <w:rsid w:val="00B7728F"/>
    <w:rsid w:val="00B80DF6"/>
    <w:rsid w:val="00BA0A57"/>
    <w:rsid w:val="00BA125B"/>
    <w:rsid w:val="00BA488D"/>
    <w:rsid w:val="00BB15BC"/>
    <w:rsid w:val="00BB683A"/>
    <w:rsid w:val="00BC06DF"/>
    <w:rsid w:val="00BC3B0D"/>
    <w:rsid w:val="00BC5139"/>
    <w:rsid w:val="00BC627F"/>
    <w:rsid w:val="00BC795B"/>
    <w:rsid w:val="00BD4517"/>
    <w:rsid w:val="00BD69FD"/>
    <w:rsid w:val="00BD6B4B"/>
    <w:rsid w:val="00BD7A34"/>
    <w:rsid w:val="00BE08F3"/>
    <w:rsid w:val="00BE3488"/>
    <w:rsid w:val="00BE3B3B"/>
    <w:rsid w:val="00BE4AB1"/>
    <w:rsid w:val="00BE67C0"/>
    <w:rsid w:val="00BE7B6D"/>
    <w:rsid w:val="00BF055B"/>
    <w:rsid w:val="00C0268D"/>
    <w:rsid w:val="00C03171"/>
    <w:rsid w:val="00C03489"/>
    <w:rsid w:val="00C13BC4"/>
    <w:rsid w:val="00C156FB"/>
    <w:rsid w:val="00C167AD"/>
    <w:rsid w:val="00C16C7E"/>
    <w:rsid w:val="00C33E56"/>
    <w:rsid w:val="00C341FC"/>
    <w:rsid w:val="00C34E0F"/>
    <w:rsid w:val="00C36451"/>
    <w:rsid w:val="00C366FF"/>
    <w:rsid w:val="00C36AF2"/>
    <w:rsid w:val="00C37AC2"/>
    <w:rsid w:val="00C406DC"/>
    <w:rsid w:val="00C550E0"/>
    <w:rsid w:val="00C57D46"/>
    <w:rsid w:val="00C621C1"/>
    <w:rsid w:val="00C67196"/>
    <w:rsid w:val="00C75F58"/>
    <w:rsid w:val="00C7748D"/>
    <w:rsid w:val="00C83910"/>
    <w:rsid w:val="00C84341"/>
    <w:rsid w:val="00C916CD"/>
    <w:rsid w:val="00C924B6"/>
    <w:rsid w:val="00C93B56"/>
    <w:rsid w:val="00C95B7B"/>
    <w:rsid w:val="00C96F90"/>
    <w:rsid w:val="00CA287B"/>
    <w:rsid w:val="00CA3E45"/>
    <w:rsid w:val="00CA4164"/>
    <w:rsid w:val="00CB7951"/>
    <w:rsid w:val="00CC307E"/>
    <w:rsid w:val="00CC773F"/>
    <w:rsid w:val="00CC7B76"/>
    <w:rsid w:val="00CD232D"/>
    <w:rsid w:val="00CD301D"/>
    <w:rsid w:val="00CD4492"/>
    <w:rsid w:val="00CE461C"/>
    <w:rsid w:val="00CF43E2"/>
    <w:rsid w:val="00CF536F"/>
    <w:rsid w:val="00CF5A24"/>
    <w:rsid w:val="00CF6C70"/>
    <w:rsid w:val="00D11BDD"/>
    <w:rsid w:val="00D12E57"/>
    <w:rsid w:val="00D164E7"/>
    <w:rsid w:val="00D20C45"/>
    <w:rsid w:val="00D221F8"/>
    <w:rsid w:val="00D22E91"/>
    <w:rsid w:val="00D308FE"/>
    <w:rsid w:val="00D41B28"/>
    <w:rsid w:val="00D508D5"/>
    <w:rsid w:val="00D52C40"/>
    <w:rsid w:val="00D721EF"/>
    <w:rsid w:val="00D7338E"/>
    <w:rsid w:val="00D96F6F"/>
    <w:rsid w:val="00DA1405"/>
    <w:rsid w:val="00DA2C49"/>
    <w:rsid w:val="00DB0061"/>
    <w:rsid w:val="00DB274B"/>
    <w:rsid w:val="00DC05ED"/>
    <w:rsid w:val="00DC30D0"/>
    <w:rsid w:val="00DC3792"/>
    <w:rsid w:val="00DD0F77"/>
    <w:rsid w:val="00DD1798"/>
    <w:rsid w:val="00DD43C9"/>
    <w:rsid w:val="00DD6594"/>
    <w:rsid w:val="00DE0500"/>
    <w:rsid w:val="00DE1508"/>
    <w:rsid w:val="00DE3DD9"/>
    <w:rsid w:val="00DE4D49"/>
    <w:rsid w:val="00DE5AAD"/>
    <w:rsid w:val="00DE7A05"/>
    <w:rsid w:val="00DF052F"/>
    <w:rsid w:val="00DF5551"/>
    <w:rsid w:val="00E00CED"/>
    <w:rsid w:val="00E0114C"/>
    <w:rsid w:val="00E02956"/>
    <w:rsid w:val="00E042D1"/>
    <w:rsid w:val="00E100C9"/>
    <w:rsid w:val="00E1482F"/>
    <w:rsid w:val="00E150C4"/>
    <w:rsid w:val="00E16761"/>
    <w:rsid w:val="00E23F79"/>
    <w:rsid w:val="00E27A9F"/>
    <w:rsid w:val="00E27EF4"/>
    <w:rsid w:val="00E37388"/>
    <w:rsid w:val="00E40B60"/>
    <w:rsid w:val="00E41EF9"/>
    <w:rsid w:val="00E42633"/>
    <w:rsid w:val="00E70234"/>
    <w:rsid w:val="00E7220D"/>
    <w:rsid w:val="00E72A31"/>
    <w:rsid w:val="00E93313"/>
    <w:rsid w:val="00EB1A75"/>
    <w:rsid w:val="00EB2B9E"/>
    <w:rsid w:val="00EB3007"/>
    <w:rsid w:val="00EB42F4"/>
    <w:rsid w:val="00EB5224"/>
    <w:rsid w:val="00EC6C17"/>
    <w:rsid w:val="00EC7A1A"/>
    <w:rsid w:val="00ED6C82"/>
    <w:rsid w:val="00EE6BF5"/>
    <w:rsid w:val="00EE7185"/>
    <w:rsid w:val="00EE7BB0"/>
    <w:rsid w:val="00EF26CF"/>
    <w:rsid w:val="00EF5731"/>
    <w:rsid w:val="00F00646"/>
    <w:rsid w:val="00F02C52"/>
    <w:rsid w:val="00F04D5F"/>
    <w:rsid w:val="00F072E2"/>
    <w:rsid w:val="00F25411"/>
    <w:rsid w:val="00F3006C"/>
    <w:rsid w:val="00F313F4"/>
    <w:rsid w:val="00F32613"/>
    <w:rsid w:val="00F419D3"/>
    <w:rsid w:val="00F434F7"/>
    <w:rsid w:val="00F440B2"/>
    <w:rsid w:val="00F44C35"/>
    <w:rsid w:val="00F44F92"/>
    <w:rsid w:val="00F5602E"/>
    <w:rsid w:val="00F60451"/>
    <w:rsid w:val="00F62B20"/>
    <w:rsid w:val="00F64E98"/>
    <w:rsid w:val="00F66294"/>
    <w:rsid w:val="00F70BED"/>
    <w:rsid w:val="00F72F36"/>
    <w:rsid w:val="00F738DD"/>
    <w:rsid w:val="00F74DF4"/>
    <w:rsid w:val="00F760DD"/>
    <w:rsid w:val="00F76188"/>
    <w:rsid w:val="00F81912"/>
    <w:rsid w:val="00F82EBB"/>
    <w:rsid w:val="00F83DBA"/>
    <w:rsid w:val="00F86C21"/>
    <w:rsid w:val="00F95812"/>
    <w:rsid w:val="00F96973"/>
    <w:rsid w:val="00F9745E"/>
    <w:rsid w:val="00FC2A7E"/>
    <w:rsid w:val="00FC2B09"/>
    <w:rsid w:val="00FC4398"/>
    <w:rsid w:val="00FC43DC"/>
    <w:rsid w:val="00FC50BD"/>
    <w:rsid w:val="00FC520D"/>
    <w:rsid w:val="00FC5992"/>
    <w:rsid w:val="00FD3B8C"/>
    <w:rsid w:val="00FD4637"/>
    <w:rsid w:val="00FD6AB4"/>
    <w:rsid w:val="00FE3531"/>
    <w:rsid w:val="00FE6627"/>
    <w:rsid w:val="00FF170A"/>
    <w:rsid w:val="00FF1C6E"/>
    <w:rsid w:val="00FF5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DA2DE"/>
  <w15:docId w15:val="{3DD37F10-047E-4F56-AB6E-CC2794B4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vi-VN"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qFormat/>
    <w:pPr>
      <w:keepNext/>
      <w:spacing w:before="240" w:after="60"/>
      <w:outlineLvl w:val="0"/>
    </w:pPr>
    <w:rPr>
      <w:rFonts w:ascii="Cambria" w:hAnsi="Cambria"/>
      <w:b/>
      <w:bCs/>
      <w:sz w:val="32"/>
      <w:szCs w:val="32"/>
      <w:lang w:eastAsia="zh-CN"/>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semiHidden/>
    <w:unhideWhenUsed/>
    <w:qFormat/>
    <w:pPr>
      <w:keepNext/>
      <w:spacing w:before="240" w:after="60"/>
      <w:outlineLvl w:val="3"/>
    </w:pPr>
    <w:rPr>
      <w:rFonts w:ascii="Calibri" w:hAnsi="Calibri"/>
      <w:b/>
      <w:bCs/>
      <w:sz w:val="28"/>
      <w:szCs w:val="28"/>
      <w:lang w:eastAsia="zh-CN"/>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qFormat/>
    <w:pPr>
      <w:keepNext/>
      <w:jc w:val="center"/>
      <w:outlineLvl w:val="5"/>
    </w:pPr>
    <w:rPr>
      <w:rFonts w:ascii=".VnTimeH" w:hAnsi=".VnTimeH"/>
      <w:b/>
      <w:szCs w:val="20"/>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lang w:val="en-US" w:eastAsia="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lang w:val="en-US" w:eastAsia="en-US"/>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lang w:val="en-US" w:eastAsia="en-US"/>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lang w:val="en-US" w:eastAsia="en-US"/>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lang w:val="en-US" w:eastAsia="en-US"/>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lang w:val="en-US" w:eastAsia="en-US"/>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lang w:val="en-US" w:eastAsia="en-US"/>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apple-converted-space">
    <w:name w:val="apple-converted-space"/>
    <w:basedOn w:val="DefaultParagraphFont"/>
  </w:style>
  <w:style w:type="paragraph" w:styleId="Footer">
    <w:name w:val="footer"/>
    <w:basedOn w:val="Normal"/>
    <w:uiPriority w:val="99"/>
    <w:pPr>
      <w:tabs>
        <w:tab w:val="center" w:pos="4153"/>
        <w:tab w:val="right" w:pos="8306"/>
      </w:tabs>
    </w:pPr>
  </w:style>
  <w:style w:type="character" w:customStyle="1" w:styleId="FooterChar">
    <w:name w:val="Footer Char"/>
    <w:basedOn w:val="DefaultParagraphFont"/>
    <w:uiPriority w:val="99"/>
    <w:rPr>
      <w:rFonts w:ascii="Times New Roman" w:eastAsia="Times New Roman" w:hAnsi="Times New Roman" w:cs="Times New Roman"/>
      <w:sz w:val="24"/>
      <w:szCs w:val="24"/>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customStyle="1" w:styleId="Char">
    <w:name w:val="Char"/>
    <w:basedOn w:val="Normal"/>
    <w:pPr>
      <w:spacing w:after="160" w:line="240" w:lineRule="exact"/>
    </w:pPr>
    <w:rPr>
      <w:rFonts w:ascii="Verdana" w:eastAsia="MS Mincho" w:hAnsi="Verdana"/>
      <w:sz w:val="20"/>
      <w:szCs w:val="20"/>
    </w:rPr>
  </w:style>
  <w:style w:type="paragraph" w:customStyle="1" w:styleId="H0">
    <w:name w:val="H0"/>
    <w:basedOn w:val="Normal"/>
    <w:qFormat/>
    <w:pPr>
      <w:spacing w:before="120" w:after="120"/>
      <w:ind w:firstLine="720"/>
      <w:jc w:val="both"/>
    </w:pPr>
    <w:rPr>
      <w:bCs/>
      <w:sz w:val="26"/>
      <w:szCs w:val="28"/>
      <w:lang w:val="es-ES_tradnl"/>
    </w:rPr>
  </w:style>
  <w:style w:type="character" w:customStyle="1" w:styleId="body0020textchar">
    <w:name w:val="body_0020text__char"/>
    <w:uiPriority w:val="99"/>
    <w:rPr>
      <w:rFonts w:cs="Times New Roman"/>
    </w:rPr>
  </w:style>
  <w:style w:type="character" w:customStyle="1" w:styleId="vnbnnidung11pt">
    <w:name w:val="vnbnnidung11pt"/>
  </w:style>
  <w:style w:type="character" w:styleId="Emphasis">
    <w:name w:val="Emphasis"/>
    <w:uiPriority w:val="20"/>
    <w:qFormat/>
    <w:rPr>
      <w:i/>
      <w:iCs/>
    </w:rPr>
  </w:style>
  <w:style w:type="character" w:customStyle="1" w:styleId="st">
    <w:name w:val="st"/>
  </w:style>
  <w:style w:type="character" w:customStyle="1" w:styleId="ListParagraphChar">
    <w:name w:val="List Paragraph Char"/>
    <w:uiPriority w:val="34"/>
    <w:rPr>
      <w:rFonts w:ascii="Calibri" w:eastAsia="Calibri" w:hAnsi="Calibri" w:cs="Times New Roman"/>
      <w:lang w:val="en-US" w:eastAsia="en-US"/>
    </w:r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uiPriority w:val="99"/>
    <w:unhideWhenUsed/>
    <w:pPr>
      <w:tabs>
        <w:tab w:val="center" w:pos="4680"/>
        <w:tab w:val="right" w:pos="9360"/>
      </w:tabs>
    </w:pPr>
  </w:style>
  <w:style w:type="character" w:customStyle="1" w:styleId="HeaderChar">
    <w:name w:val="Header Char"/>
    <w:basedOn w:val="DefaultParagraphFont"/>
    <w:uiPriority w:val="99"/>
    <w:rPr>
      <w:rFonts w:ascii="Times New Roman" w:eastAsia="Times New Roman" w:hAnsi="Times New Roman" w:cs="Times New Roman"/>
      <w:sz w:val="24"/>
      <w:szCs w:val="24"/>
      <w:lang w:val="en-US" w:eastAsia="en-US"/>
    </w:rPr>
  </w:style>
  <w:style w:type="character" w:customStyle="1" w:styleId="fontstyle01">
    <w:name w:val="fontstyle01"/>
    <w:basedOn w:val="DefaultParagraphFont"/>
    <w:rPr>
      <w:rFonts w:ascii="TimesNewRomanPSMT" w:hAnsi="TimesNewRomanPSMT" w:hint="default"/>
      <w:b w:val="0"/>
      <w:bCs w:val="0"/>
      <w:i w:val="0"/>
      <w:iCs w:val="0"/>
      <w:color w:val="000000"/>
      <w:sz w:val="30"/>
      <w:szCs w:val="30"/>
    </w:rPr>
  </w:style>
  <w:style w:type="character" w:customStyle="1" w:styleId="fontstyle21">
    <w:name w:val="fontstyle21"/>
    <w:basedOn w:val="DefaultParagraphFont"/>
    <w:rPr>
      <w:rFonts w:ascii="ArialMT" w:hAnsi="ArialMT" w:hint="default"/>
      <w:b w:val="0"/>
      <w:bCs w:val="0"/>
      <w:i w:val="0"/>
      <w:iCs w:val="0"/>
      <w:color w:val="000000"/>
      <w:sz w:val="24"/>
      <w:szCs w:val="24"/>
    </w:rPr>
  </w:style>
  <w:style w:type="paragraph" w:styleId="NormalWeb">
    <w:name w:val="Normal (Web)"/>
    <w:basedOn w:val="Normal"/>
    <w:uiPriority w:val="99"/>
    <w:unhideWhenUsed/>
    <w:pPr>
      <w:spacing w:before="100" w:beforeAutospacing="1" w:after="100" w:afterAutospacing="1"/>
    </w:pPr>
  </w:style>
  <w:style w:type="character" w:customStyle="1" w:styleId="NormalWebChar">
    <w:name w:val="Normal (Web) Char"/>
    <w:uiPriority w:val="99"/>
    <w:rPr>
      <w:rFonts w:ascii="Times New Roman" w:eastAsia="Times New Roman" w:hAnsi="Times New Roman" w:cs="Times New Roman"/>
      <w:sz w:val="24"/>
      <w:szCs w:val="24"/>
      <w:lang w:val="en-US" w:eastAsia="en-US"/>
    </w:rPr>
  </w:style>
  <w:style w:type="paragraph" w:styleId="BodyTextIndent2">
    <w:name w:val="Body Text Indent 2"/>
    <w:basedOn w:val="Normal"/>
    <w:pPr>
      <w:ind w:firstLine="720"/>
      <w:jc w:val="both"/>
    </w:pPr>
    <w:rPr>
      <w:rFonts w:ascii=".VnTime" w:hAnsi=".VnTime"/>
      <w:sz w:val="28"/>
      <w:szCs w:val="20"/>
    </w:rPr>
  </w:style>
  <w:style w:type="character" w:customStyle="1" w:styleId="BodyTextIndent2Char">
    <w:name w:val="Body Text Indent 2 Char"/>
    <w:basedOn w:val="DefaultParagraphFont"/>
    <w:uiPriority w:val="99"/>
    <w:semiHidden/>
    <w:rPr>
      <w:rFonts w:ascii="Times New Roman" w:eastAsia="Times New Roman" w:hAnsi="Times New Roman" w:cs="Times New Roman"/>
      <w:sz w:val="24"/>
      <w:szCs w:val="24"/>
      <w:lang w:val="en-US" w:eastAsia="en-US"/>
    </w:rPr>
  </w:style>
  <w:style w:type="character" w:customStyle="1" w:styleId="BodyTextIndent2Char1">
    <w:name w:val="Body Text Indent 2 Char1"/>
    <w:rPr>
      <w:rFonts w:ascii=".VnTime" w:eastAsia="Times New Roman" w:hAnsi=".VnTime" w:cs="Times New Roman"/>
      <w:sz w:val="28"/>
      <w:szCs w:val="20"/>
      <w:lang w:val="en-US" w:eastAsia="en-US"/>
    </w:rPr>
  </w:style>
  <w:style w:type="paragraph" w:styleId="BodyText">
    <w:name w:val="Body Text"/>
    <w:basedOn w:val="Normal"/>
    <w:uiPriority w:val="99"/>
    <w:unhideWhenUsed/>
    <w:pPr>
      <w:spacing w:after="120"/>
    </w:pPr>
  </w:style>
  <w:style w:type="character" w:customStyle="1" w:styleId="BodyTextChar">
    <w:name w:val="Body Text Char"/>
    <w:basedOn w:val="DefaultParagraphFont"/>
    <w:uiPriority w:val="99"/>
    <w:rPr>
      <w:rFonts w:ascii="Times New Roman" w:eastAsia="Times New Roman" w:hAnsi="Times New Roman" w:cs="Times New Roman"/>
      <w:sz w:val="24"/>
      <w:szCs w:val="24"/>
      <w:lang w:val="en-US" w:eastAsia="en-US"/>
    </w:rPr>
  </w:style>
  <w:style w:type="paragraph" w:styleId="BalloonText">
    <w:name w:val="Balloon Text"/>
    <w:basedOn w:val="Normal"/>
    <w:uiPriority w:val="99"/>
    <w:semiHidden/>
    <w:unhideWhenUsed/>
    <w:rPr>
      <w:rFonts w:ascii="Segoe UI" w:hAnsi="Segoe UI" w:cs="Segoe UI"/>
      <w:sz w:val="18"/>
      <w:szCs w:val="18"/>
    </w:rPr>
  </w:style>
  <w:style w:type="character" w:customStyle="1" w:styleId="BalloonTextChar">
    <w:name w:val="Balloon Text Char"/>
    <w:basedOn w:val="DefaultParagraphFont"/>
    <w:uiPriority w:val="99"/>
    <w:semiHidden/>
    <w:rPr>
      <w:rFonts w:ascii="Segoe UI" w:eastAsia="Times New Roman" w:hAnsi="Segoe UI" w:cs="Segoe UI"/>
      <w:sz w:val="18"/>
      <w:szCs w:val="18"/>
      <w:lang w:val="en-US" w:eastAsia="en-US"/>
    </w:rPr>
  </w:style>
  <w:style w:type="character" w:styleId="Hyperlink">
    <w:name w:val="Hyperlink"/>
    <w:basedOn w:val="DefaultParagraphFont"/>
    <w:unhideWhenUsed/>
    <w:rPr>
      <w:color w:val="0000FF"/>
      <w:u w:val="single"/>
    </w:rPr>
  </w:style>
  <w:style w:type="character" w:customStyle="1" w:styleId="Heading1Char">
    <w:name w:val="Heading 1 Char"/>
    <w:basedOn w:val="DefaultParagraphFont"/>
    <w:rPr>
      <w:rFonts w:ascii="Cambria" w:eastAsia="Times New Roman" w:hAnsi="Cambria" w:cs="Times New Roman"/>
      <w:b/>
      <w:bCs/>
      <w:sz w:val="32"/>
      <w:szCs w:val="32"/>
      <w:lang w:val="en-US"/>
    </w:rPr>
  </w:style>
  <w:style w:type="character" w:customStyle="1" w:styleId="Heading4Char">
    <w:name w:val="Heading 4 Char"/>
    <w:basedOn w:val="DefaultParagraphFont"/>
    <w:semiHidden/>
    <w:rPr>
      <w:rFonts w:ascii="Calibri" w:eastAsia="Times New Roman" w:hAnsi="Calibri" w:cs="Times New Roman"/>
      <w:b/>
      <w:bCs/>
      <w:sz w:val="28"/>
      <w:szCs w:val="28"/>
      <w:lang w:val="en-US"/>
    </w:rPr>
  </w:style>
  <w:style w:type="character" w:customStyle="1" w:styleId="Heading6Char">
    <w:name w:val="Heading 6 Char"/>
    <w:basedOn w:val="DefaultParagraphFont"/>
    <w:rPr>
      <w:rFonts w:ascii=".VnTimeH" w:eastAsia="Times New Roman" w:hAnsi=".VnTimeH" w:cs="Times New Roman"/>
      <w:b/>
      <w:sz w:val="24"/>
      <w:szCs w:val="20"/>
      <w:lang w:val="en-US" w:eastAsia="en-US"/>
    </w:rPr>
  </w:style>
  <w:style w:type="character" w:styleId="CommentReference">
    <w:name w:val="annotation reference"/>
    <w:basedOn w:val="DefaultParagraphFont"/>
    <w:uiPriority w:val="99"/>
    <w:semiHidden/>
    <w:unhideWhenUsed/>
    <w:rsid w:val="002B2077"/>
    <w:rPr>
      <w:sz w:val="16"/>
      <w:szCs w:val="16"/>
    </w:rPr>
  </w:style>
  <w:style w:type="paragraph" w:styleId="CommentText">
    <w:name w:val="annotation text"/>
    <w:basedOn w:val="Normal"/>
    <w:link w:val="CommentTextChar"/>
    <w:uiPriority w:val="99"/>
    <w:semiHidden/>
    <w:unhideWhenUsed/>
    <w:rsid w:val="002B2077"/>
    <w:rPr>
      <w:sz w:val="20"/>
      <w:szCs w:val="20"/>
    </w:rPr>
  </w:style>
  <w:style w:type="character" w:customStyle="1" w:styleId="CommentTextChar">
    <w:name w:val="Comment Text Char"/>
    <w:basedOn w:val="DefaultParagraphFont"/>
    <w:link w:val="CommentText"/>
    <w:uiPriority w:val="99"/>
    <w:semiHidden/>
    <w:rsid w:val="002B2077"/>
    <w:rPr>
      <w:rFonts w:ascii="Times New Roman" w:eastAsia="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2B2077"/>
    <w:rPr>
      <w:b/>
      <w:bCs/>
    </w:rPr>
  </w:style>
  <w:style w:type="character" w:customStyle="1" w:styleId="CommentSubjectChar">
    <w:name w:val="Comment Subject Char"/>
    <w:basedOn w:val="CommentTextChar"/>
    <w:link w:val="CommentSubject"/>
    <w:uiPriority w:val="99"/>
    <w:semiHidden/>
    <w:rsid w:val="002B2077"/>
    <w:rPr>
      <w:rFonts w:ascii="Times New Roman" w:eastAsia="Times New Roman" w:hAnsi="Times New Roman" w:cs="Times New Roman"/>
      <w:b/>
      <w:bCs/>
      <w:sz w:val="20"/>
      <w:szCs w:val="20"/>
      <w:lang w:val="en-US" w:eastAsia="en-US"/>
    </w:rPr>
  </w:style>
  <w:style w:type="character" w:styleId="Strong">
    <w:name w:val="Strong"/>
    <w:basedOn w:val="DefaultParagraphFont"/>
    <w:uiPriority w:val="22"/>
    <w:qFormat/>
    <w:rsid w:val="00AF49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65FB899B6E41EC4FBEA39091E31DA064" ma:contentTypeVersion="1" ma:contentTypeDescription="Tải lên hình ảnh." ma:contentTypeScope="" ma:versionID="5931ae0eaa3e5d7f65f491949e38298a">
  <xsd:schema xmlns:xsd="http://www.w3.org/2001/XMLSchema" xmlns:xs="http://www.w3.org/2001/XMLSchema" xmlns:p="http://schemas.microsoft.com/office/2006/metadata/properties" xmlns:ns1="http://schemas.microsoft.com/sharepoint/v3" xmlns:ns2="34DE943F-F693-4AD1-9B32-C9C245F8B9F9" xmlns:ns3="http://schemas.microsoft.com/sharepoint/v3/fields" targetNamespace="http://schemas.microsoft.com/office/2006/metadata/properties" ma:root="true" ma:fieldsID="9730da1a86557f3d3df8e542bad17067" ns1:_="" ns2:_="" ns3:_="">
    <xsd:import namespace="http://schemas.microsoft.com/sharepoint/v3"/>
    <xsd:import namespace="34DE943F-F693-4AD1-9B32-C9C245F8B9F9"/>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DE943F-F693-4AD1-9B32-C9C245F8B9F9"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34DE943F-F693-4AD1-9B32-C9C245F8B9F9"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A1610247-C590-4570-9534-16A365DEB723}"/>
</file>

<file path=customXml/itemProps2.xml><?xml version="1.0" encoding="utf-8"?>
<ds:datastoreItem xmlns:ds="http://schemas.openxmlformats.org/officeDocument/2006/customXml" ds:itemID="{12348655-29C3-4DEF-80E0-BE156945EF07}"/>
</file>

<file path=customXml/itemProps3.xml><?xml version="1.0" encoding="utf-8"?>
<ds:datastoreItem xmlns:ds="http://schemas.openxmlformats.org/officeDocument/2006/customXml" ds:itemID="{11A4D2A8-40D4-45A9-973A-A79BF78F1663}"/>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keywords/>
  <dc:description/>
  <cp:lastModifiedBy>Admin</cp:lastModifiedBy>
  <cp:revision>2</cp:revision>
  <dcterms:created xsi:type="dcterms:W3CDTF">2025-06-09T08:44:00Z</dcterms:created>
  <dcterms:modified xsi:type="dcterms:W3CDTF">2025-06-09T08:44:00Z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0x0101009148F5A04DDD49CBA7127AADA5FB792B00AADE34325A8B49CDA8BB4DB53328F2140065FB899B6E41EC4FBEA39091E31DA064</vt:lpwstr>
  </property>
</Properties>
</file>